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9FD7" w14:textId="12276196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0" w:name="do"/>
      <w:r w:rsidRPr="004465DC">
        <w:rPr>
          <w:rFonts w:ascii="Verdana" w:eastAsia="Times New Roman" w:hAnsi="Verdana" w:cs="Times New Roman"/>
          <w:b/>
          <w:bCs/>
          <w:noProof/>
          <w:color w:val="333399"/>
          <w:sz w:val="22"/>
          <w:lang w:eastAsia="ro-RO"/>
        </w:rPr>
        <w:drawing>
          <wp:inline distT="0" distB="0" distL="0" distR="0" wp14:anchorId="65312912" wp14:editId="096566DA">
            <wp:extent cx="98425" cy="98425"/>
            <wp:effectExtent l="0" t="0" r="0" b="0"/>
            <wp:docPr id="3" name="Picture 3" descr="C:\Users\Sand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Sand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465DC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ORDONANŢĂ DE URGENŢĂ nr. 10 din 9 februarie 2011 privind abrogarea alin. (8) al art. 39 din Legea nr. </w:t>
      </w:r>
      <w:hyperlink r:id="rId6" w:history="1">
        <w:r w:rsidRPr="004465DC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51/1995</w:t>
        </w:r>
      </w:hyperlink>
      <w:r w:rsidRPr="004465DC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pentru organizarea </w:t>
      </w:r>
      <w:proofErr w:type="spellStart"/>
      <w:r w:rsidRPr="004465DC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4465DC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exercitarea profesiei de avocat</w:t>
      </w:r>
      <w:r w:rsidRPr="004465DC">
        <w:rPr>
          <w:rFonts w:ascii="Verdana" w:eastAsia="Times New Roman" w:hAnsi="Verdana" w:cs="Times New Roman"/>
          <w:sz w:val="22"/>
          <w:lang w:eastAsia="ro-RO"/>
        </w:rPr>
        <w:br/>
      </w:r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Forma sintetică la data 03-ian-2019. Acest act a fost creat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utilizand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tehnologia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®-Acte Sintetice.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şi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tehnologia Acte Sintetice sunt mărci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inregistrate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ale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Wolters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Kluwer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.</w:t>
      </w:r>
    </w:p>
    <w:p w14:paraId="3852E0A2" w14:textId="48ED5F53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</w:pPr>
      <w:r w:rsidRPr="004465DC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2A018563" wp14:editId="2D7A53CB">
            <wp:extent cx="85725" cy="85725"/>
            <wp:effectExtent l="0" t="0" r="9525" b="9525"/>
            <wp:docPr id="2" name="Picture 2" descr="C:\Users\Sand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48_0001" descr="C:\Users\Sand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5DC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(la data 10-mar-2013 actul a fost aprobat de </w:t>
      </w:r>
      <w:hyperlink r:id="rId8" w:anchor="do" w:history="1">
        <w:r w:rsidRPr="004465DC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lang w:eastAsia="ro-RO"/>
          </w:rPr>
          <w:t>Legea 26/2013</w:t>
        </w:r>
      </w:hyperlink>
      <w:r w:rsidRPr="004465DC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 )</w:t>
      </w:r>
    </w:p>
    <w:p w14:paraId="5E808569" w14:textId="77777777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1" w:name="do|pa1"/>
      <w:bookmarkEnd w:id="1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Având în vedere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dispoziţiile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alin. (8) al art. 39 din Legea nr. </w:t>
      </w:r>
      <w:hyperlink r:id="rId9" w:history="1">
        <w:r w:rsidRPr="004465DC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51/1995</w:t>
        </w:r>
      </w:hyperlink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pentru organizarea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exercitarea profesiei de avocat, republicată, prin care se instituie pentru prima dată în reglementarea română o cauză de nepedepsire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circumstanţiată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la exercitarea unei profesii liberale cu legătură directă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impact profund asupra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activităţii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judiciare, fiind în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acelaşi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timp singura de acest gen cu privire la o anumită categorie de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subiecţi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activi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calific</w:t>
      </w:r>
      <w:bookmarkStart w:id="2" w:name="_GoBack"/>
      <w:bookmarkEnd w:id="2"/>
      <w:r w:rsidRPr="004465DC">
        <w:rPr>
          <w:rFonts w:ascii="Verdana" w:eastAsia="Times New Roman" w:hAnsi="Verdana" w:cs="Times New Roman"/>
          <w:sz w:val="22"/>
          <w:lang w:eastAsia="ro-RO"/>
        </w:rPr>
        <w:t>aţi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-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participanţi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în calitate de instigatori sau complici la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săvârşirea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de către client a unei fapte prevăzute de legea penală,</w:t>
      </w:r>
    </w:p>
    <w:p w14:paraId="038AEFD4" w14:textId="77777777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3" w:name="do|pa2"/>
      <w:bookmarkEnd w:id="3"/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ţinând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cont de faptul că reglementările cu caracter general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sancţiunea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penală în mod special răspund unor nevoi constatate la nivel social, un astfel de text poate fi de natură să aducă prejudicii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înseşi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exercitării profesiei de avocat, punând la îndoială probitatea membrilor profesiei, care sunt, în egală măsură, vectori în procesul de stabilire a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circumstanţelor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cauzei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dezlegării pricinii.</w:t>
      </w:r>
    </w:p>
    <w:p w14:paraId="041F53F6" w14:textId="77777777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4" w:name="do|pa3"/>
      <w:bookmarkEnd w:id="4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Având în vedere că elementele prezentate mai sus constituie o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situaţie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de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urgenţă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extraordinară, a cărei reglementare nu poate fi amânată,</w:t>
      </w:r>
    </w:p>
    <w:p w14:paraId="40E4C3D5" w14:textId="77777777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5" w:name="do|pa4"/>
      <w:bookmarkEnd w:id="5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În temeiul art. 115 alin. (4) din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Constituţia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României, republicată,</w:t>
      </w:r>
    </w:p>
    <w:p w14:paraId="23399673" w14:textId="77777777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6" w:name="do|pa5"/>
      <w:bookmarkEnd w:id="6"/>
      <w:r w:rsidRPr="004465DC">
        <w:rPr>
          <w:rFonts w:ascii="Verdana" w:eastAsia="Times New Roman" w:hAnsi="Verdana" w:cs="Times New Roman"/>
          <w:b/>
          <w:bCs/>
          <w:sz w:val="22"/>
          <w:lang w:eastAsia="ro-RO"/>
        </w:rPr>
        <w:t>Guvernul României</w:t>
      </w:r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adoptă prezenta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ordonanţă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de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urgenţă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>.</w:t>
      </w:r>
    </w:p>
    <w:p w14:paraId="734D8BF9" w14:textId="7405ADED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7" w:name="do|ar1"/>
      <w:r w:rsidRPr="004465DC">
        <w:rPr>
          <w:rFonts w:ascii="Verdana" w:eastAsia="Times New Roman" w:hAnsi="Verdana" w:cs="Times New Roman"/>
          <w:b/>
          <w:bCs/>
          <w:noProof/>
          <w:color w:val="333399"/>
          <w:sz w:val="22"/>
          <w:lang w:eastAsia="ro-RO"/>
        </w:rPr>
        <w:drawing>
          <wp:inline distT="0" distB="0" distL="0" distR="0" wp14:anchorId="1766E562" wp14:editId="59963F42">
            <wp:extent cx="98425" cy="98425"/>
            <wp:effectExtent l="0" t="0" r="0" b="0"/>
            <wp:docPr id="1" name="Picture 1" descr="C:\Users\Sand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Sand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4465DC">
        <w:rPr>
          <w:rFonts w:ascii="Verdana" w:eastAsia="Times New Roman" w:hAnsi="Verdana" w:cs="Times New Roman"/>
          <w:b/>
          <w:bCs/>
          <w:color w:val="0000AF"/>
          <w:sz w:val="22"/>
          <w:lang w:eastAsia="ro-RO"/>
        </w:rPr>
        <w:t>Articol unic</w:t>
      </w:r>
    </w:p>
    <w:p w14:paraId="00FFB344" w14:textId="77777777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8" w:name="do|ar1|pa1"/>
      <w:bookmarkEnd w:id="8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Alineatul (8) al articolului 39 din Legea nr. </w:t>
      </w:r>
      <w:hyperlink r:id="rId10" w:history="1">
        <w:r w:rsidRPr="004465DC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eastAsia="ro-RO"/>
          </w:rPr>
          <w:t>51/1995</w:t>
        </w:r>
      </w:hyperlink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pentru organizarea </w:t>
      </w:r>
      <w:proofErr w:type="spellStart"/>
      <w:r w:rsidRPr="004465DC">
        <w:rPr>
          <w:rFonts w:ascii="Verdana" w:eastAsia="Times New Roman" w:hAnsi="Verdana" w:cs="Times New Roman"/>
          <w:sz w:val="22"/>
          <w:lang w:eastAsia="ro-RO"/>
        </w:rPr>
        <w:t>şi</w:t>
      </w:r>
      <w:proofErr w:type="spellEnd"/>
      <w:r w:rsidRPr="004465DC">
        <w:rPr>
          <w:rFonts w:ascii="Verdana" w:eastAsia="Times New Roman" w:hAnsi="Verdana" w:cs="Times New Roman"/>
          <w:sz w:val="22"/>
          <w:lang w:eastAsia="ro-RO"/>
        </w:rPr>
        <w:t xml:space="preserve"> exercitarea profesiei de avocat, republicată în Monitorul Oficial al României, Partea I, nr. 98 din 7 februarie 2011, se abrogă.</w:t>
      </w:r>
    </w:p>
    <w:p w14:paraId="6C8CE914" w14:textId="77777777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9" w:name="do|pa6"/>
      <w:bookmarkEnd w:id="9"/>
      <w:r w:rsidRPr="004465DC">
        <w:rPr>
          <w:rFonts w:ascii="Verdana" w:eastAsia="Times New Roman" w:hAnsi="Verdana" w:cs="Times New Roman"/>
          <w:sz w:val="22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4465DC" w:rsidRPr="004465DC" w14:paraId="255A3A71" w14:textId="77777777" w:rsidTr="004465DC">
        <w:trPr>
          <w:trHeight w:val="12"/>
          <w:tblCellSpacing w:w="0" w:type="dxa"/>
          <w:jc w:val="center"/>
        </w:trPr>
        <w:tc>
          <w:tcPr>
            <w:tcW w:w="0" w:type="auto"/>
            <w:hideMark/>
          </w:tcPr>
          <w:p w14:paraId="74D69901" w14:textId="77777777" w:rsidR="004465DC" w:rsidRPr="004465DC" w:rsidRDefault="004465DC" w:rsidP="004465D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0" w:name="do|pa7"/>
            <w:bookmarkEnd w:id="10"/>
            <w:r w:rsidRPr="004465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14:paraId="67B8A097" w14:textId="77777777" w:rsidR="004465DC" w:rsidRPr="004465DC" w:rsidRDefault="004465DC" w:rsidP="004465D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65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EMIL BOC</w:t>
            </w:r>
          </w:p>
          <w:p w14:paraId="30F5A9FB" w14:textId="77777777" w:rsidR="004465DC" w:rsidRPr="004465DC" w:rsidRDefault="004465DC" w:rsidP="004465D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65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Contrasemnează:</w:t>
            </w:r>
          </w:p>
          <w:p w14:paraId="5B86D5F4" w14:textId="77777777" w:rsidR="004465DC" w:rsidRPr="004465DC" w:rsidRDefault="004465DC" w:rsidP="004465D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65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4465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justiţiei</w:t>
            </w:r>
            <w:proofErr w:type="spellEnd"/>
            <w:r w:rsidRPr="004465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5ECACE53" w14:textId="77777777" w:rsidR="004465DC" w:rsidRPr="004465DC" w:rsidRDefault="004465DC" w:rsidP="004465D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465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Cătălin Marian </w:t>
            </w:r>
            <w:proofErr w:type="spellStart"/>
            <w:r w:rsidRPr="004465D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Predoiu</w:t>
            </w:r>
            <w:proofErr w:type="spellEnd"/>
          </w:p>
        </w:tc>
      </w:tr>
    </w:tbl>
    <w:p w14:paraId="1180D74C" w14:textId="77777777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bookmarkStart w:id="11" w:name="do|pa8"/>
      <w:bookmarkEnd w:id="11"/>
      <w:r w:rsidRPr="004465DC">
        <w:rPr>
          <w:rFonts w:ascii="Verdana" w:eastAsia="Times New Roman" w:hAnsi="Verdana" w:cs="Times New Roman"/>
          <w:sz w:val="22"/>
          <w:lang w:eastAsia="ro-RO"/>
        </w:rPr>
        <w:t>Publicat în Monitorul Oficial cu numărul 113 din data de 14 februarie 2011</w:t>
      </w:r>
    </w:p>
    <w:p w14:paraId="16D034B6" w14:textId="77777777" w:rsidR="004465DC" w:rsidRPr="004465DC" w:rsidRDefault="004465DC" w:rsidP="004465DC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eastAsia="ro-RO"/>
        </w:rPr>
      </w:pPr>
      <w:r w:rsidRPr="004465DC">
        <w:rPr>
          <w:rFonts w:ascii="Verdana" w:eastAsia="Times New Roman" w:hAnsi="Verdana" w:cs="Times New Roman"/>
          <w:sz w:val="22"/>
          <w:lang w:eastAsia="ro-RO"/>
        </w:rPr>
        <w:br/>
      </w:r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Forma sintetică la data 03-ian-2019. Acest act a fost creat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utilizand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tehnologia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®-Acte Sintetice.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şi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tehnologia Acte Sintetice sunt mărci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inregistrate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ale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Wolters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Kluwer</w:t>
      </w:r>
      <w:proofErr w:type="spellEnd"/>
      <w:r w:rsidRPr="004465DC">
        <w:rPr>
          <w:rFonts w:ascii="Verdana" w:eastAsia="Times New Roman" w:hAnsi="Verdana" w:cs="Times New Roman"/>
          <w:sz w:val="15"/>
          <w:szCs w:val="15"/>
          <w:lang w:eastAsia="ro-RO"/>
        </w:rPr>
        <w:t>.</w:t>
      </w:r>
    </w:p>
    <w:p w14:paraId="776975E2" w14:textId="77777777" w:rsidR="00067612" w:rsidRDefault="00067612"/>
    <w:sectPr w:rsidR="00067612" w:rsidSect="00AF0EAF">
      <w:pgSz w:w="11909" w:h="16834" w:code="9"/>
      <w:pgMar w:top="720" w:right="720" w:bottom="72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DC"/>
    <w:rsid w:val="00067612"/>
    <w:rsid w:val="004465DC"/>
    <w:rsid w:val="00A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13B3"/>
  <w15:chartTrackingRefBased/>
  <w15:docId w15:val="{40E6EF07-2292-429B-AD01-B882A0CE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5DC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4465D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4465DC"/>
  </w:style>
  <w:style w:type="character" w:customStyle="1" w:styleId="ar1">
    <w:name w:val="ar1"/>
    <w:basedOn w:val="DefaultParagraphFont"/>
    <w:rsid w:val="004465DC"/>
    <w:rPr>
      <w:b/>
      <w:bCs/>
      <w:color w:val="0000A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00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11691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80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0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41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73244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46826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186541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44277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23315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50042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330977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916017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058417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du\sintact%204.0\cache\Legislatie\temp2825940\00154548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ndu\sintact%204.0\cache\Legislatie\temp2825940\00138064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file:///C:\Users\Sandu\sintact%204.0\cache\Legislatie\temp2825940\00138064.htm" TargetMode="External"/><Relationship Id="rId4" Type="http://schemas.openxmlformats.org/officeDocument/2006/relationships/hyperlink" Target="file:///C:\Users\Sandu\sintact%204.0\cache\Legislatie\temp2825940\00138216.HTML" TargetMode="External"/><Relationship Id="rId9" Type="http://schemas.openxmlformats.org/officeDocument/2006/relationships/hyperlink" Target="file:///C:\Users\Sandu\sintact%204.0\cache\Legislatie\temp2825940\0013806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1</cp:revision>
  <dcterms:created xsi:type="dcterms:W3CDTF">2019-01-03T09:02:00Z</dcterms:created>
  <dcterms:modified xsi:type="dcterms:W3CDTF">2019-01-03T09:03:00Z</dcterms:modified>
</cp:coreProperties>
</file>