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10FDA" w14:textId="77777777" w:rsidR="00C12D62" w:rsidRPr="00C12D62" w:rsidRDefault="00C12D62" w:rsidP="00C12D62">
      <w:pPr>
        <w:spacing w:before="100" w:beforeAutospacing="1" w:after="100" w:afterAutospacing="1" w:line="360" w:lineRule="auto"/>
        <w:jc w:val="center"/>
        <w:rPr>
          <w:rFonts w:ascii="Calibri" w:eastAsia="Times New Roman" w:hAnsi="Calibri"/>
          <w:b/>
        </w:rPr>
      </w:pPr>
    </w:p>
    <w:p w14:paraId="3839E35B" w14:textId="77777777" w:rsidR="00C12D62" w:rsidRPr="00C12D62" w:rsidRDefault="00C12D62" w:rsidP="00C12D62">
      <w:pPr>
        <w:spacing w:before="100" w:beforeAutospacing="1" w:after="100" w:afterAutospacing="1" w:line="360" w:lineRule="auto"/>
        <w:jc w:val="center"/>
        <w:rPr>
          <w:rFonts w:ascii="Calibri" w:eastAsia="Times New Roman" w:hAnsi="Calibri"/>
          <w:b/>
        </w:rPr>
      </w:pPr>
    </w:p>
    <w:p w14:paraId="1FD3E6A3" w14:textId="77777777" w:rsidR="00C12D62" w:rsidRPr="00C12D62" w:rsidRDefault="00C12D62" w:rsidP="00C12D62">
      <w:pPr>
        <w:spacing w:before="100" w:beforeAutospacing="1" w:after="100" w:afterAutospacing="1" w:line="360" w:lineRule="auto"/>
        <w:jc w:val="center"/>
        <w:rPr>
          <w:rFonts w:ascii="Calibri" w:eastAsia="Times New Roman" w:hAnsi="Calibri"/>
          <w:b/>
        </w:rPr>
      </w:pPr>
      <w:r w:rsidRPr="00C12D62">
        <w:rPr>
          <w:rFonts w:ascii="Calibri" w:eastAsia="Times New Roman" w:hAnsi="Calibri"/>
          <w:b/>
        </w:rPr>
        <w:t>ANUL REVOLUȚIEI DIGITALE ÎN AVOCATURĂ</w:t>
      </w:r>
    </w:p>
    <w:p w14:paraId="1F43C71F"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2017 este anul în care digitalizarea profesiei de avocat a fost continuu pe ordinea de zi a reuniunilor profesionale din întreaga lume. Cum știm, și tema propusă de Consiliul Barourilor Europene (CCBE) pentru sărbătorirea Zilei Avocaților Europeni din acest an este</w:t>
      </w:r>
      <w:r w:rsidR="00375091">
        <w:rPr>
          <w:rFonts w:ascii="Calibri" w:eastAsia="Times New Roman" w:hAnsi="Calibri"/>
        </w:rPr>
        <w:t xml:space="preserve"> </w:t>
      </w:r>
      <w:r w:rsidRPr="00C12D62">
        <w:rPr>
          <w:rFonts w:ascii="Calibri" w:eastAsia="Times New Roman" w:hAnsi="Calibri"/>
        </w:rPr>
        <w:t>”Avocații în e-</w:t>
      </w:r>
      <w:proofErr w:type="spellStart"/>
      <w:r w:rsidRPr="00C12D62">
        <w:rPr>
          <w:rFonts w:ascii="Calibri" w:eastAsia="Times New Roman" w:hAnsi="Calibri"/>
        </w:rPr>
        <w:t>voluție</w:t>
      </w:r>
      <w:proofErr w:type="spellEnd"/>
      <w:r w:rsidRPr="00C12D62">
        <w:rPr>
          <w:rFonts w:ascii="Calibri" w:eastAsia="Times New Roman" w:hAnsi="Calibri"/>
        </w:rPr>
        <w:t xml:space="preserve">. În ce mod transformarea digitală poate întări relația cetățean avocat”. Prin această propunere, CCBE ține să ne atragă atenția că profesia se schimbă fundamental, că multe din activitățile clasice ale avocatului, cu precădere cele care țin de organizare, sunt preluate de mașini. Însă, mesajul pe care ni-l transmite CCBE este acela că trebuie </w:t>
      </w:r>
      <w:r w:rsidRPr="00C12D62">
        <w:rPr>
          <w:rFonts w:ascii="Calibri" w:eastAsia="Times New Roman" w:hAnsi="Calibri"/>
          <w:b/>
        </w:rPr>
        <w:t xml:space="preserve">să folosim tehnologia pentru a întări relația </w:t>
      </w:r>
      <w:r w:rsidR="00826DAC" w:rsidRPr="00C12D62">
        <w:rPr>
          <w:rFonts w:ascii="Calibri" w:eastAsia="Times New Roman" w:hAnsi="Calibri"/>
          <w:b/>
        </w:rPr>
        <w:t>cetățean</w:t>
      </w:r>
      <w:r w:rsidR="00826DAC">
        <w:rPr>
          <w:rFonts w:ascii="Calibri" w:eastAsia="Times New Roman" w:hAnsi="Calibri"/>
          <w:b/>
        </w:rPr>
        <w:t>-</w:t>
      </w:r>
      <w:r w:rsidRPr="00C12D62">
        <w:rPr>
          <w:rFonts w:ascii="Calibri" w:eastAsia="Times New Roman" w:hAnsi="Calibri"/>
          <w:b/>
        </w:rPr>
        <w:t>avocat</w:t>
      </w:r>
      <w:r w:rsidRPr="00C12D62">
        <w:rPr>
          <w:rFonts w:ascii="Calibri" w:eastAsia="Times New Roman" w:hAnsi="Calibri"/>
        </w:rPr>
        <w:t xml:space="preserve"> și nu a lupta împotriva curentului. Schimbarea este iminentă și ceea putem face este să ne </w:t>
      </w:r>
      <w:r w:rsidR="00826DAC" w:rsidRPr="00C12D62">
        <w:rPr>
          <w:rFonts w:ascii="Calibri" w:eastAsia="Times New Roman" w:hAnsi="Calibri"/>
        </w:rPr>
        <w:t>adapt</w:t>
      </w:r>
      <w:r w:rsidR="00826DAC">
        <w:rPr>
          <w:rFonts w:ascii="Calibri" w:eastAsia="Times New Roman" w:hAnsi="Calibri"/>
        </w:rPr>
        <w:t>ă</w:t>
      </w:r>
      <w:r w:rsidR="00826DAC" w:rsidRPr="00C12D62">
        <w:rPr>
          <w:rFonts w:ascii="Calibri" w:eastAsia="Times New Roman" w:hAnsi="Calibri"/>
        </w:rPr>
        <w:t>m</w:t>
      </w:r>
      <w:r w:rsidRPr="00C12D62">
        <w:rPr>
          <w:rFonts w:ascii="Calibri" w:eastAsia="Times New Roman" w:hAnsi="Calibri"/>
        </w:rPr>
        <w:t>.</w:t>
      </w:r>
    </w:p>
    <w:p w14:paraId="063AA3D1"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În ce constă această adaptare? În a folosi tehnologia în comunicarea cu clientul și în organizarea muncii avocațiale, concomitent cu conștientizarea atuurilor profesionale, care constau în impunerea principiilor fundamentale, pe care roboții nu le pot aplica. </w:t>
      </w:r>
    </w:p>
    <w:p w14:paraId="12AB3B35"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Aș fi vrut să spun că numai un avocat bine pregătit poate aduce argumentele legate de</w:t>
      </w:r>
      <w:r w:rsidR="00375091">
        <w:rPr>
          <w:rFonts w:ascii="Calibri" w:eastAsia="Times New Roman" w:hAnsi="Calibri"/>
        </w:rPr>
        <w:t xml:space="preserve"> </w:t>
      </w:r>
      <w:r w:rsidRPr="00C12D62">
        <w:rPr>
          <w:rFonts w:ascii="Calibri" w:eastAsia="Times New Roman" w:hAnsi="Calibri"/>
        </w:rPr>
        <w:t>rațiunea legii, poate intui spiritul legii și poate lupta, într-un litigiu,</w:t>
      </w:r>
      <w:r w:rsidR="00375091">
        <w:rPr>
          <w:rFonts w:ascii="Calibri" w:eastAsia="Times New Roman" w:hAnsi="Calibri"/>
        </w:rPr>
        <w:t xml:space="preserve"> </w:t>
      </w:r>
      <w:r w:rsidRPr="00C12D62">
        <w:rPr>
          <w:rFonts w:ascii="Calibri" w:eastAsia="Times New Roman" w:hAnsi="Calibri"/>
        </w:rPr>
        <w:t xml:space="preserve">cu un adversar, cu aceste argumente. Dar, mă gândesc acum la faptul că până odinioară se credea că niciun soft nu ar putea învinge un campion la un joc de </w:t>
      </w:r>
      <w:proofErr w:type="spellStart"/>
      <w:r w:rsidRPr="00C12D62">
        <w:rPr>
          <w:rFonts w:ascii="Calibri" w:eastAsia="Times New Roman" w:hAnsi="Calibri"/>
        </w:rPr>
        <w:t>Go</w:t>
      </w:r>
      <w:proofErr w:type="spellEnd"/>
      <w:r w:rsidRPr="00C12D62">
        <w:rPr>
          <w:rFonts w:ascii="Calibri" w:eastAsia="Times New Roman" w:hAnsi="Calibri"/>
        </w:rPr>
        <w:t xml:space="preserve">, care, pe lângă strategie, presupune și multă creație, mai ales intuiție. Dar iată că s-a întâmplat și acest lucru! Pentru prima oară, un algoritm Google l-a învins pe numărul unu mondial la </w:t>
      </w:r>
      <w:proofErr w:type="spellStart"/>
      <w:r w:rsidRPr="00C12D62">
        <w:rPr>
          <w:rFonts w:ascii="Calibri" w:eastAsia="Times New Roman" w:hAnsi="Calibri"/>
        </w:rPr>
        <w:t>Go</w:t>
      </w:r>
      <w:proofErr w:type="spellEnd"/>
      <w:r w:rsidRPr="00C12D62">
        <w:rPr>
          <w:rFonts w:ascii="Calibri" w:eastAsia="Times New Roman" w:hAnsi="Calibri"/>
        </w:rPr>
        <w:t xml:space="preserve">, în 2015. La șah, acest lucru s-a întâmplat în 1997, când robotul IBM l-a învins pe </w:t>
      </w:r>
      <w:proofErr w:type="spellStart"/>
      <w:r w:rsidRPr="00C12D62">
        <w:rPr>
          <w:rFonts w:ascii="Calibri" w:eastAsia="Times New Roman" w:hAnsi="Calibri"/>
        </w:rPr>
        <w:t>Kasparov</w:t>
      </w:r>
      <w:proofErr w:type="spellEnd"/>
      <w:r w:rsidRPr="00C12D62">
        <w:rPr>
          <w:rFonts w:ascii="Calibri" w:eastAsia="Times New Roman" w:hAnsi="Calibri"/>
        </w:rPr>
        <w:t xml:space="preserve">. Roboții înving omul! Inteligența umană e depășită de inteligența artificială! Și atunci, ce-i rămâne omului? </w:t>
      </w:r>
    </w:p>
    <w:p w14:paraId="4E0B0F29"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Din fericire, nevoile umane nu se limitează la răspunsuri seci scoase din algoritmi. Continui să cred că,</w:t>
      </w:r>
      <w:r w:rsidR="00375091">
        <w:rPr>
          <w:rFonts w:ascii="Calibri" w:eastAsia="Times New Roman" w:hAnsi="Calibri"/>
        </w:rPr>
        <w:t xml:space="preserve"> </w:t>
      </w:r>
      <w:r w:rsidRPr="00C12D62">
        <w:rPr>
          <w:rFonts w:ascii="Calibri" w:eastAsia="Times New Roman" w:hAnsi="Calibri"/>
        </w:rPr>
        <w:t xml:space="preserve">totuși, aceste aplicații nu pot înlocui relația </w:t>
      </w:r>
      <w:proofErr w:type="spellStart"/>
      <w:r w:rsidRPr="00C12D62">
        <w:rPr>
          <w:rFonts w:ascii="Calibri" w:eastAsia="Times New Roman" w:hAnsi="Calibri"/>
          <w:i/>
        </w:rPr>
        <w:t>intuitu</w:t>
      </w:r>
      <w:proofErr w:type="spellEnd"/>
      <w:r w:rsidRPr="00C12D62">
        <w:rPr>
          <w:rFonts w:ascii="Calibri" w:eastAsia="Times New Roman" w:hAnsi="Calibri"/>
          <w:i/>
        </w:rPr>
        <w:t xml:space="preserve"> </w:t>
      </w:r>
      <w:proofErr w:type="spellStart"/>
      <w:r w:rsidRPr="00C12D62">
        <w:rPr>
          <w:rFonts w:ascii="Calibri" w:eastAsia="Times New Roman" w:hAnsi="Calibri"/>
          <w:i/>
        </w:rPr>
        <w:t>personae</w:t>
      </w:r>
      <w:proofErr w:type="spellEnd"/>
      <w:r w:rsidRPr="00C12D62">
        <w:rPr>
          <w:rFonts w:ascii="Calibri" w:eastAsia="Times New Roman" w:hAnsi="Calibri"/>
        </w:rPr>
        <w:t xml:space="preserve"> a avocatului cu clientul său. Nu pot înlocui independența avocatului, respectarea secretului profesional și a confidențialității cauzelor, demnitatea, onoarea și probitatea, competența profesională sau loialitatea față de client. Pentru că orice om are </w:t>
      </w:r>
      <w:r w:rsidRPr="00C12D62">
        <w:rPr>
          <w:rFonts w:ascii="Calibri" w:eastAsia="Times New Roman" w:hAnsi="Calibri"/>
        </w:rPr>
        <w:lastRenderedPageBreak/>
        <w:t>temeri să încredințeze secrete unui robot, mai ales în era supravegherii tehnice informaționale în masă, care se accentuează concomitent cu lupta împotriva terorismului și a criminalității. Orice om are nevoie de loialitate, de încredere că secretul său nu va fi divulgat. Omul poate aduce plus valoare acestor răspunsuri prin competență înaltă și inovație.</w:t>
      </w:r>
    </w:p>
    <w:p w14:paraId="1951667F"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Este nevoie de o coeziune a profesiei, pentru a impune aceste principii, pentru a le face cunoscute unui public nou, format din tineri crescuți cu tehnologia în casă, care se bazează pe motoarele de căutare la fiecare pas pe care îl fac în viață. Nu spun că e un lucru rău, doar să fim atenți la acest aspect! Inclusiv când au o problemă juridică, ei se bazează pe Internet și dacă vor găsi soluții, le vor folosi. Că e bine, că e rău, nici nu mai contează când acesta este curentul. Aceasta este realitatea!</w:t>
      </w:r>
      <w:r w:rsidR="00375091">
        <w:rPr>
          <w:rFonts w:ascii="Calibri" w:eastAsia="Times New Roman" w:hAnsi="Calibri"/>
        </w:rPr>
        <w:t xml:space="preserve"> </w:t>
      </w:r>
      <w:r w:rsidRPr="00C12D62">
        <w:rPr>
          <w:rFonts w:ascii="Calibri" w:eastAsia="Times New Roman" w:hAnsi="Calibri"/>
        </w:rPr>
        <w:t>Ce pot face oamenii avocați să se remarce, cu atuurile lor în fața acestui val informațional?</w:t>
      </w:r>
    </w:p>
    <w:p w14:paraId="62D5DE5E"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În opinia mea, prin conștientizarea și afirmarea principiilor fundamentale ale profesiei, pot realiza mult, în acest context. Dar, mi-aș dori foarte mult să aud părerile avocaților în această privință! Pentru că, în căutările mele pe Internet, am găsit extrem de puține opinii ale avocaților români în legătură cu modul în care am putea face față acestor transformări digitale, deși</w:t>
      </w:r>
      <w:r w:rsidR="00375091">
        <w:rPr>
          <w:rFonts w:ascii="Calibri" w:eastAsia="Times New Roman" w:hAnsi="Calibri"/>
        </w:rPr>
        <w:t xml:space="preserve"> </w:t>
      </w:r>
      <w:r w:rsidR="00826DAC" w:rsidRPr="00C12D62">
        <w:rPr>
          <w:rFonts w:ascii="Calibri" w:eastAsia="Times New Roman" w:hAnsi="Calibri"/>
        </w:rPr>
        <w:t>problema</w:t>
      </w:r>
      <w:r w:rsidR="00826DAC">
        <w:rPr>
          <w:rFonts w:ascii="Calibri" w:eastAsia="Times New Roman" w:hAnsi="Calibri"/>
        </w:rPr>
        <w:t xml:space="preserve"> </w:t>
      </w:r>
      <w:r w:rsidRPr="00C12D62">
        <w:rPr>
          <w:rFonts w:ascii="Calibri" w:eastAsia="Times New Roman" w:hAnsi="Calibri"/>
        </w:rPr>
        <w:t>se constituie într-o chestiune extrem de acută.</w:t>
      </w:r>
    </w:p>
    <w:p w14:paraId="41C099E2"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Este foarte clar că avem nevoie de formatori în economia digitală, în justiția digitală, în avocatura digitală. La nivelul Uniunii Naționale a Barourilor din Romania</w:t>
      </w:r>
      <w:r w:rsidR="00826DAC">
        <w:rPr>
          <w:rFonts w:ascii="Calibri" w:eastAsia="Times New Roman" w:hAnsi="Calibri"/>
        </w:rPr>
        <w:t xml:space="preserve"> </w:t>
      </w:r>
      <w:r w:rsidRPr="00C12D62">
        <w:rPr>
          <w:rFonts w:ascii="Calibri" w:eastAsia="Times New Roman" w:hAnsi="Calibri"/>
        </w:rPr>
        <w:t>(UNBR) și al Barourilor trebuie să stimulăm inovația,</w:t>
      </w:r>
      <w:r w:rsidR="00375091">
        <w:rPr>
          <w:rFonts w:ascii="Calibri" w:eastAsia="Times New Roman" w:hAnsi="Calibri"/>
        </w:rPr>
        <w:t xml:space="preserve"> </w:t>
      </w:r>
      <w:r w:rsidRPr="00C12D62">
        <w:rPr>
          <w:rFonts w:ascii="Calibri" w:eastAsia="Times New Roman" w:hAnsi="Calibri"/>
        </w:rPr>
        <w:t>să ne pregătim, indiferent de vârstă, dacă vrem să facem față acestui val.</w:t>
      </w:r>
    </w:p>
    <w:p w14:paraId="14DC55DC"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 A lupta împotriva curentului e o cauză pierdută!</w:t>
      </w:r>
    </w:p>
    <w:p w14:paraId="63D69BD5"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În informările zilnice pe care Uniunea le transmite barourilor și consilierilor UNBR, această temă a fost în permanență prezentă. Au fost transmise studii, articole din țările Uniunii Europene, referitoare la modul în care sunt abordate și eventual rezolvate aceste aspecte. Barourile le pot retransmite avocaților, cu respectarea chestiunilor legale privind</w:t>
      </w:r>
      <w:r w:rsidR="00375091">
        <w:rPr>
          <w:rFonts w:ascii="Calibri" w:eastAsia="Times New Roman" w:hAnsi="Calibri"/>
        </w:rPr>
        <w:t xml:space="preserve"> </w:t>
      </w:r>
      <w:r w:rsidRPr="00C12D62">
        <w:rPr>
          <w:rFonts w:ascii="Calibri" w:eastAsia="Times New Roman" w:hAnsi="Calibri"/>
        </w:rPr>
        <w:t>protecția datelor personale. De aceea, mă aștept, de la barouri, să pună în discuție, cu avocații,</w:t>
      </w:r>
      <w:r w:rsidR="00375091">
        <w:rPr>
          <w:rFonts w:ascii="Calibri" w:eastAsia="Times New Roman" w:hAnsi="Calibri"/>
        </w:rPr>
        <w:t xml:space="preserve"> </w:t>
      </w:r>
      <w:r w:rsidRPr="00C12D62">
        <w:rPr>
          <w:rFonts w:ascii="Calibri" w:eastAsia="Times New Roman" w:hAnsi="Calibri"/>
        </w:rPr>
        <w:t>această problematică, pentru că nu e o fantezie, ci o realitate apropiată.</w:t>
      </w:r>
      <w:r w:rsidR="00375091">
        <w:rPr>
          <w:rFonts w:ascii="Calibri" w:eastAsia="Times New Roman" w:hAnsi="Calibri"/>
        </w:rPr>
        <w:t xml:space="preserve"> </w:t>
      </w:r>
    </w:p>
    <w:p w14:paraId="3B251C16"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lastRenderedPageBreak/>
        <w:t>Dacă până nu demult, serviciile avocațiale se desfășurau aproape exclusiv în spațiul cabinetului, astăzi asistăm la o dematerializare a acestor servicii, care permite ca acestea să ajungă mai ușor la publicul larg. În România, demersurile în acest sens sunt încă destul de slabe, dar, după cum merg lucrurile,</w:t>
      </w:r>
      <w:r w:rsidR="00375091">
        <w:rPr>
          <w:rFonts w:ascii="Calibri" w:eastAsia="Times New Roman" w:hAnsi="Calibri"/>
        </w:rPr>
        <w:t xml:space="preserve"> </w:t>
      </w:r>
      <w:r w:rsidRPr="00C12D62">
        <w:rPr>
          <w:rFonts w:ascii="Calibri" w:eastAsia="Times New Roman" w:hAnsi="Calibri"/>
        </w:rPr>
        <w:t xml:space="preserve">într-un an, maxim doi, astfel de platforme vor putea deveni funcționale. Ele există deja, dar nu sunt prea căutate și folosite de toți avocații. Viitorul e însă foarte aproape, mult mai aproape decât credem! </w:t>
      </w:r>
    </w:p>
    <w:p w14:paraId="19B34C70"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Un studiu recent </w:t>
      </w:r>
      <w:proofErr w:type="spellStart"/>
      <w:r w:rsidRPr="00C12D62">
        <w:rPr>
          <w:rFonts w:ascii="Calibri" w:eastAsia="Times New Roman" w:hAnsi="Calibri"/>
        </w:rPr>
        <w:t>Deloitte</w:t>
      </w:r>
      <w:proofErr w:type="spellEnd"/>
      <w:r w:rsidRPr="00C12D62">
        <w:rPr>
          <w:rFonts w:ascii="Calibri" w:eastAsia="Times New Roman" w:hAnsi="Calibri"/>
        </w:rPr>
        <w:t xml:space="preserve"> arată că </w:t>
      </w:r>
      <w:r w:rsidRPr="00C12D62">
        <w:rPr>
          <w:rFonts w:ascii="Calibri" w:eastAsia="Times New Roman" w:hAnsi="Calibri"/>
          <w:i/>
        </w:rPr>
        <w:t>”tehnologia nu înlocuiește încă munca avocaților, dar majoritatea cred că acest lucru se va întâmpla în următorii cinci ani</w:t>
      </w:r>
      <w:r w:rsidRPr="00C12D62">
        <w:rPr>
          <w:rFonts w:ascii="Calibri" w:eastAsia="Times New Roman" w:hAnsi="Calibri"/>
        </w:rPr>
        <w:t>”</w:t>
      </w:r>
      <w:r w:rsidRPr="00C12D62">
        <w:rPr>
          <w:rFonts w:ascii="Calibri" w:eastAsia="Times New Roman" w:hAnsi="Calibri"/>
          <w:vertAlign w:val="superscript"/>
        </w:rPr>
        <w:footnoteReference w:id="1"/>
      </w:r>
      <w:r w:rsidRPr="00C12D62">
        <w:rPr>
          <w:rFonts w:ascii="Calibri" w:eastAsia="Times New Roman" w:hAnsi="Calibri"/>
        </w:rPr>
        <w:t xml:space="preserve">. </w:t>
      </w:r>
    </w:p>
    <w:p w14:paraId="6FB4AE29"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Cinci ani înseamnă extrem de puțin, mai ales în condițiile în care tehnologia evoluează atât de repede,</w:t>
      </w:r>
      <w:r w:rsidR="00375091">
        <w:rPr>
          <w:rFonts w:ascii="Calibri" w:eastAsia="Times New Roman" w:hAnsi="Calibri"/>
        </w:rPr>
        <w:t xml:space="preserve"> </w:t>
      </w:r>
      <w:r w:rsidRPr="00C12D62">
        <w:rPr>
          <w:rFonts w:ascii="Calibri" w:eastAsia="Times New Roman" w:hAnsi="Calibri"/>
        </w:rPr>
        <w:t>încât e aproape imposibil de anticipat ce se va întâmpla în următorii cinci ani. Să ne gândim doar la anul 2012, în care problemele profesiei erau cu totul altele, când ne luptam cu barourile paralele, cu entități fizice, cu acțiunile lor materializate, care ne permiteau să acționăm conform unor reguli cunoscute.</w:t>
      </w:r>
    </w:p>
    <w:p w14:paraId="018A3E07"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Apariția ”roboților avocați”, a platformelor online de consultanță juridică sau a comparatoarelor profesionale poate crea o stare de disconfort și temeri justificate în rândul avocaților. Unii dintre dumneavoastră vor spune că se încalcă legea și sunt convins că aveți suficiente argument</w:t>
      </w:r>
      <w:r w:rsidR="00826DAC">
        <w:rPr>
          <w:rFonts w:ascii="Calibri" w:eastAsia="Times New Roman" w:hAnsi="Calibri"/>
        </w:rPr>
        <w:t>e</w:t>
      </w:r>
      <w:r w:rsidRPr="00C12D62">
        <w:rPr>
          <w:rFonts w:ascii="Calibri" w:eastAsia="Times New Roman" w:hAnsi="Calibri"/>
        </w:rPr>
        <w:t xml:space="preserve"> să susțineți acest lucru. Dar nu știu dacă este o idee bună să ne ”certăm” cu roboții sau cu cei din spatele lor, să-i dăm în judecată! Pentru că la ritmul în care evoluează tehnologia vor apărea zilnic softuri noi.</w:t>
      </w:r>
      <w:r w:rsidR="00375091">
        <w:rPr>
          <w:rFonts w:ascii="Calibri" w:eastAsia="Times New Roman" w:hAnsi="Calibri"/>
        </w:rPr>
        <w:t xml:space="preserve"> </w:t>
      </w:r>
      <w:r w:rsidRPr="00C12D62">
        <w:rPr>
          <w:rFonts w:ascii="Calibri" w:eastAsia="Times New Roman" w:hAnsi="Calibri"/>
        </w:rPr>
        <w:t>O idee mai bună este să ne canalizăm energia să colaborăm cu acești roboți pentru a ne eficientiza munca!</w:t>
      </w:r>
    </w:p>
    <w:p w14:paraId="2F7A5202"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 Justiția e încă dezorientată în fața efectelor digitalizării profesiei de avocat, legislația e rămasă mult în urmă, nu poate ține pasul cu evoluția tehnologică.</w:t>
      </w:r>
    </w:p>
    <w:p w14:paraId="02A8EACD"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Cererea de servicii avocațiale s-a schimbat. Clienții vor servicii integrate, vor răspunsuri instant și multidisciplinare la problemele lor, întrucât concurența nu așteaptă. Tehnologia ne poate ajuta să răspundem acestor cereri, însă comportă și riscuri legate de deontologie, în special. În acest sens a fost adoptată rezoluția UNBR privind </w:t>
      </w:r>
      <w:r w:rsidRPr="00C12D62">
        <w:rPr>
          <w:rFonts w:ascii="Calibri" w:eastAsia="Times New Roman" w:hAnsi="Calibri"/>
          <w:i/>
        </w:rPr>
        <w:t xml:space="preserve">”Principiile de integritate în activitățile profesionale desfășurate de </w:t>
      </w:r>
      <w:r w:rsidRPr="00C12D62">
        <w:rPr>
          <w:rFonts w:ascii="Calibri" w:eastAsia="Times New Roman" w:hAnsi="Calibri"/>
          <w:i/>
        </w:rPr>
        <w:lastRenderedPageBreak/>
        <w:t>avocați în profesii compatibile cu cea de avocat și în conlucrările interprofesionale pentru furnizarea de servicii profesionale integrate</w:t>
      </w:r>
      <w:r w:rsidRPr="00C12D62">
        <w:rPr>
          <w:rFonts w:ascii="Calibri" w:eastAsia="Times New Roman" w:hAnsi="Calibri"/>
        </w:rPr>
        <w:t>”.</w:t>
      </w:r>
    </w:p>
    <w:p w14:paraId="254471CF"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Avocații trebuie să înțeleagă toate aceste schimbări și să se adapteze, să caute soluții inovative cu care să facă față acestei concurențe frontale cu roboții.</w:t>
      </w:r>
    </w:p>
    <w:p w14:paraId="4DCEDE4A"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Comunicarea contează foarte mult! Avocații trebuie să-și afirme atu-urile participând la dezbaterile legislative, sociale, comunicând pe Internet și în rețelele sociale cu bună credință și aproape de cetățeni.</w:t>
      </w:r>
    </w:p>
    <w:p w14:paraId="1432AC0B" w14:textId="1B73D899"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 xml:space="preserve">În ultimul an, UNBR a întreprins o serie de demersuri în privința digitalizării profesiei. Unul dintre acestea este de a le ușura munca prin crearea unei platforme în care pot dicta cererile și dictarea se transformă în scris. E vorba despre un </w:t>
      </w:r>
      <w:hyperlink r:id="rId8" w:tgtFrame="_blank" w:history="1">
        <w:r w:rsidRPr="00C12D62">
          <w:rPr>
            <w:rFonts w:ascii="Calibri" w:eastAsia="Times New Roman" w:hAnsi="Calibri"/>
            <w:color w:val="0000FF"/>
            <w:u w:val="single"/>
          </w:rPr>
          <w:t>program conversie audio-text</w:t>
        </w:r>
      </w:hyperlink>
      <w:bookmarkStart w:id="0" w:name="_GoBack"/>
      <w:bookmarkEnd w:id="0"/>
      <w:r w:rsidRPr="00C12D62">
        <w:rPr>
          <w:rFonts w:ascii="Calibri" w:eastAsia="Times New Roman" w:hAnsi="Calibri"/>
          <w:sz w:val="22"/>
          <w:szCs w:val="22"/>
        </w:rPr>
        <w:t xml:space="preserve">, în care </w:t>
      </w:r>
      <w:r w:rsidRPr="00C12D62">
        <w:rPr>
          <w:rFonts w:ascii="Calibri" w:eastAsia="Times New Roman" w:hAnsi="Calibri"/>
        </w:rPr>
        <w:t xml:space="preserve">este </w:t>
      </w:r>
      <w:r w:rsidR="00826DAC" w:rsidRPr="00C12D62">
        <w:rPr>
          <w:rFonts w:ascii="Calibri" w:eastAsia="Times New Roman" w:hAnsi="Calibri"/>
        </w:rPr>
        <w:t>asigurat</w:t>
      </w:r>
      <w:r w:rsidR="00826DAC">
        <w:rPr>
          <w:rFonts w:ascii="Calibri" w:eastAsia="Times New Roman" w:hAnsi="Calibri"/>
        </w:rPr>
        <w:t>ă</w:t>
      </w:r>
      <w:r w:rsidR="00826DAC" w:rsidRPr="00C12D62">
        <w:rPr>
          <w:rFonts w:ascii="Calibri" w:eastAsia="Times New Roman" w:hAnsi="Calibri"/>
        </w:rPr>
        <w:t xml:space="preserve"> </w:t>
      </w:r>
      <w:r w:rsidRPr="00C12D62">
        <w:rPr>
          <w:rFonts w:ascii="Calibri" w:eastAsia="Times New Roman" w:hAnsi="Calibri"/>
        </w:rPr>
        <w:t>securitatea, siguranța, deoarece nu se conservă nimic din suportul verbal sau scris!</w:t>
      </w:r>
      <w:r w:rsidRPr="00C12D62">
        <w:rPr>
          <w:rFonts w:ascii="Calibri" w:eastAsia="Times New Roman" w:hAnsi="Calibri"/>
          <w:sz w:val="22"/>
          <w:szCs w:val="22"/>
        </w:rPr>
        <w:t xml:space="preserve"> </w:t>
      </w:r>
      <w:r w:rsidRPr="00C12D62">
        <w:rPr>
          <w:rFonts w:ascii="Calibri" w:eastAsia="Times New Roman" w:hAnsi="Calibri"/>
        </w:rPr>
        <w:t>Tot în id</w:t>
      </w:r>
      <w:r w:rsidR="00826DAC">
        <w:rPr>
          <w:rFonts w:ascii="Calibri" w:eastAsia="Times New Roman" w:hAnsi="Calibri"/>
        </w:rPr>
        <w:t>e</w:t>
      </w:r>
      <w:r w:rsidRPr="00C12D62">
        <w:rPr>
          <w:rFonts w:ascii="Calibri" w:eastAsia="Times New Roman" w:hAnsi="Calibri"/>
        </w:rPr>
        <w:t>ea trecerii la revoluția digitală, sunt în curs de</w:t>
      </w:r>
      <w:r w:rsidR="00375091">
        <w:rPr>
          <w:rFonts w:ascii="Calibri" w:eastAsia="Times New Roman" w:hAnsi="Calibri"/>
        </w:rPr>
        <w:t xml:space="preserve"> </w:t>
      </w:r>
      <w:r w:rsidRPr="00C12D62">
        <w:rPr>
          <w:rFonts w:ascii="Calibri" w:eastAsia="Times New Roman" w:hAnsi="Calibri"/>
        </w:rPr>
        <w:t>dezvoltare aplicații funcționale în ”Tabloul național al avocaților" creat pe site</w:t>
      </w:r>
      <w:r w:rsidR="00A97BDC">
        <w:rPr>
          <w:rFonts w:ascii="Calibri" w:eastAsia="Times New Roman" w:hAnsi="Calibri"/>
        </w:rPr>
        <w:t>-</w:t>
      </w:r>
      <w:r w:rsidRPr="00C12D62">
        <w:rPr>
          <w:rFonts w:ascii="Calibri" w:eastAsia="Times New Roman" w:hAnsi="Calibri"/>
        </w:rPr>
        <w:t>ul UNBR,</w:t>
      </w:r>
      <w:r w:rsidR="00375091">
        <w:rPr>
          <w:rFonts w:ascii="Calibri" w:eastAsia="Times New Roman" w:hAnsi="Calibri"/>
        </w:rPr>
        <w:t xml:space="preserve"> </w:t>
      </w:r>
      <w:r w:rsidRPr="00C12D62">
        <w:rPr>
          <w:rFonts w:ascii="Calibri" w:eastAsia="Times New Roman" w:hAnsi="Calibri"/>
        </w:rPr>
        <w:t xml:space="preserve">precum </w:t>
      </w:r>
      <w:r w:rsidR="00826DAC">
        <w:rPr>
          <w:rFonts w:ascii="Calibri" w:eastAsia="Times New Roman" w:hAnsi="Calibri"/>
        </w:rPr>
        <w:t>ș</w:t>
      </w:r>
      <w:r w:rsidR="00826DAC" w:rsidRPr="00C12D62">
        <w:rPr>
          <w:rFonts w:ascii="Calibri" w:eastAsia="Times New Roman" w:hAnsi="Calibri"/>
        </w:rPr>
        <w:t xml:space="preserve">i </w:t>
      </w:r>
      <w:r w:rsidRPr="00C12D62">
        <w:rPr>
          <w:rFonts w:ascii="Calibri" w:eastAsia="Times New Roman" w:hAnsi="Calibri"/>
        </w:rPr>
        <w:t xml:space="preserve">Registrul informatic al actelor atestate de avocat. Aplicațiile sunt disponibile (sau </w:t>
      </w:r>
      <w:r w:rsidR="00826DAC">
        <w:rPr>
          <w:rFonts w:ascii="Calibri" w:eastAsia="Times New Roman" w:hAnsi="Calibri"/>
        </w:rPr>
        <w:t>î</w:t>
      </w:r>
      <w:r w:rsidR="00826DAC" w:rsidRPr="00C12D62">
        <w:rPr>
          <w:rFonts w:ascii="Calibri" w:eastAsia="Times New Roman" w:hAnsi="Calibri"/>
        </w:rPr>
        <w:t xml:space="preserve">n </w:t>
      </w:r>
      <w:r w:rsidRPr="00C12D62">
        <w:rPr>
          <w:rFonts w:ascii="Calibri" w:eastAsia="Times New Roman" w:hAnsi="Calibri"/>
        </w:rPr>
        <w:t>curs de dezvoltare/finalizare) avocaților din "</w:t>
      </w:r>
      <w:hyperlink r:id="rId9" w:tgtFrame="_blank" w:history="1">
        <w:r w:rsidRPr="003A5A75">
          <w:rPr>
            <w:rFonts w:ascii="Calibri" w:eastAsia="Times New Roman" w:hAnsi="Calibri"/>
            <w:bCs/>
            <w:color w:val="0000FF"/>
            <w:u w:val="single"/>
          </w:rPr>
          <w:t>Contul avocatului</w:t>
        </w:r>
      </w:hyperlink>
      <w:r w:rsidRPr="00C12D62">
        <w:rPr>
          <w:rFonts w:ascii="Calibri" w:eastAsia="Times New Roman" w:hAnsi="Calibri"/>
        </w:rPr>
        <w:t xml:space="preserve">" aflat pe site-ul </w:t>
      </w:r>
      <w:hyperlink r:id="rId10" w:tgtFrame="_blank" w:history="1">
        <w:r w:rsidRPr="00C12D62">
          <w:rPr>
            <w:rFonts w:ascii="Calibri" w:eastAsia="Times New Roman" w:hAnsi="Calibri"/>
            <w:color w:val="0000FF"/>
            <w:u w:val="single"/>
          </w:rPr>
          <w:t>www.unbr.ro</w:t>
        </w:r>
      </w:hyperlink>
      <w:r w:rsidRPr="00C12D62">
        <w:rPr>
          <w:rFonts w:ascii="Calibri" w:eastAsia="Times New Roman" w:hAnsi="Calibri"/>
        </w:rPr>
        <w:t xml:space="preserve"> . Acestea au multe funcționalități, pe care le veți descoperi pe site-ul UNBR, pe măsură ce vor fi finalizate. Ca exemplu, acestea se referă la interconectare cu Casa de Asigurări a Avocaților, pentru avocații din Baroul București, sesizare</w:t>
      </w:r>
      <w:r w:rsidR="00826DAC">
        <w:rPr>
          <w:rFonts w:ascii="Calibri" w:eastAsia="Times New Roman" w:hAnsi="Calibri"/>
        </w:rPr>
        <w:t>a</w:t>
      </w:r>
      <w:r w:rsidRPr="00C12D62">
        <w:rPr>
          <w:rFonts w:ascii="Calibri" w:eastAsia="Times New Roman" w:hAnsi="Calibri"/>
        </w:rPr>
        <w:t xml:space="preserve"> electronică a Oficiului Național de Prevenire și Combatere a Spălării </w:t>
      </w:r>
      <w:r w:rsidR="00826DAC">
        <w:rPr>
          <w:rFonts w:ascii="Calibri" w:eastAsia="Times New Roman" w:hAnsi="Calibri"/>
        </w:rPr>
        <w:t>B</w:t>
      </w:r>
      <w:r w:rsidR="00826DAC" w:rsidRPr="00C12D62">
        <w:rPr>
          <w:rFonts w:ascii="Calibri" w:eastAsia="Times New Roman" w:hAnsi="Calibri"/>
        </w:rPr>
        <w:t>anilor</w:t>
      </w:r>
      <w:r w:rsidRPr="00C12D62">
        <w:rPr>
          <w:rFonts w:ascii="Calibri" w:eastAsia="Times New Roman" w:hAnsi="Calibri"/>
        </w:rPr>
        <w:t xml:space="preserve">, </w:t>
      </w:r>
      <w:r w:rsidR="00826DAC">
        <w:rPr>
          <w:rFonts w:ascii="Calibri" w:eastAsia="Times New Roman" w:hAnsi="Calibri"/>
        </w:rPr>
        <w:t>i</w:t>
      </w:r>
      <w:r w:rsidR="00826DAC" w:rsidRPr="00C12D62">
        <w:rPr>
          <w:rFonts w:ascii="Calibri" w:eastAsia="Times New Roman" w:hAnsi="Calibri"/>
        </w:rPr>
        <w:t xml:space="preserve">nterconectare </w:t>
      </w:r>
      <w:r w:rsidRPr="00C12D62">
        <w:rPr>
          <w:rFonts w:ascii="Calibri" w:eastAsia="Times New Roman" w:hAnsi="Calibri"/>
        </w:rPr>
        <w:t>cu portalul EMAP folosit de instanțe pentru verificarea avocaților cu drept de exercitare a profesiei de avocat, instrumente de transmitere securizată și de transfer de informații criptate etc.</w:t>
      </w:r>
    </w:p>
    <w:p w14:paraId="76FED40C" w14:textId="77777777" w:rsidR="00C12D62" w:rsidRPr="00C12D62" w:rsidRDefault="00C12D62" w:rsidP="00A97BDC">
      <w:pPr>
        <w:spacing w:after="200" w:line="360" w:lineRule="auto"/>
        <w:jc w:val="both"/>
        <w:rPr>
          <w:rFonts w:ascii="Calibri" w:eastAsia="Times New Roman" w:hAnsi="Calibri"/>
        </w:rPr>
      </w:pPr>
      <w:r w:rsidRPr="00C12D62">
        <w:rPr>
          <w:rFonts w:ascii="Calibri" w:eastAsia="Times New Roman" w:hAnsi="Calibri"/>
        </w:rPr>
        <w:t xml:space="preserve">Ne gândim și la posibilități de extindere a mecanismului de plăți și pentru alte categorii de activități, la planificarea unitară a acordării asistenței judiciare, punct unic de acces pentru instrumente legislative și chiar pentru programe special pregătite pentru acces la informații juridice. </w:t>
      </w:r>
    </w:p>
    <w:p w14:paraId="2919B716" w14:textId="77777777" w:rsidR="00C12D62" w:rsidRPr="00C12D62" w:rsidRDefault="00C12D62" w:rsidP="00A97BDC">
      <w:pPr>
        <w:spacing w:before="100" w:beforeAutospacing="1" w:after="100" w:afterAutospacing="1" w:line="360" w:lineRule="auto"/>
        <w:jc w:val="both"/>
        <w:rPr>
          <w:rFonts w:ascii="Calibri" w:eastAsia="Times New Roman" w:hAnsi="Calibri"/>
        </w:rPr>
      </w:pPr>
      <w:r w:rsidRPr="00C12D62">
        <w:rPr>
          <w:rFonts w:ascii="Calibri" w:eastAsia="Times New Roman" w:hAnsi="Calibri"/>
        </w:rPr>
        <w:t>La ultimele ședințe ale Comisiei Permanente a UNBR și a Consiliului UNBR s-a pus problema implementării accesului</w:t>
      </w:r>
      <w:r w:rsidR="00375091">
        <w:rPr>
          <w:rFonts w:ascii="Calibri" w:eastAsia="Times New Roman" w:hAnsi="Calibri"/>
        </w:rPr>
        <w:t xml:space="preserve"> </w:t>
      </w:r>
      <w:r w:rsidRPr="00C12D62">
        <w:rPr>
          <w:rFonts w:ascii="Calibri" w:eastAsia="Times New Roman" w:hAnsi="Calibri"/>
        </w:rPr>
        <w:t xml:space="preserve">avocatului la dosarul electronic, la instanțele unde există un astfel de dosar, fără a fi necesară semnătura electronică, dacă se va implementa sistemul autentificării prin aplicația Tabloul avocaților, în urma încheierii unui Protocol încheiat cu CSM. </w:t>
      </w:r>
    </w:p>
    <w:p w14:paraId="5A91A207" w14:textId="77777777" w:rsidR="00C12D62" w:rsidRPr="00C12D62" w:rsidRDefault="00C12D62" w:rsidP="00A97BDC">
      <w:pPr>
        <w:spacing w:line="360" w:lineRule="auto"/>
        <w:jc w:val="both"/>
        <w:rPr>
          <w:rFonts w:ascii="Calibri" w:eastAsia="Times New Roman" w:hAnsi="Calibri" w:cs="Arial"/>
        </w:rPr>
      </w:pPr>
      <w:r w:rsidRPr="00C12D62">
        <w:rPr>
          <w:rFonts w:ascii="Calibri" w:eastAsia="Times New Roman" w:hAnsi="Calibri" w:cs="Arial"/>
        </w:rPr>
        <w:lastRenderedPageBreak/>
        <w:t>S-a propus, de asemenea, ca Sistemul ECRIS să conțină, într-un câmp separat, numele avocatului care reprezintă clientul în cauză. Astfel</w:t>
      </w:r>
      <w:r w:rsidR="00826DAC">
        <w:rPr>
          <w:rFonts w:ascii="Calibri" w:eastAsia="Times New Roman" w:hAnsi="Calibri" w:cs="Arial"/>
        </w:rPr>
        <w:t>,</w:t>
      </w:r>
      <w:r w:rsidRPr="00C12D62">
        <w:rPr>
          <w:rFonts w:ascii="Calibri" w:eastAsia="Times New Roman" w:hAnsi="Calibri" w:cs="Arial"/>
        </w:rPr>
        <w:t xml:space="preserve"> datele avocatului sunt înregistrate într-un mod care ar permite comunicarea chiar accelerată cu avocatul și, pe de altă parte, s-ar putea crea o legătură între sistemul ECRIS și Tabloul avocaților fiecărui barou. S-ar detecta mai ușor cazurile de exercitare fără drept a profesiei de avocat.</w:t>
      </w:r>
    </w:p>
    <w:p w14:paraId="2001DAFC" w14:textId="77777777" w:rsidR="00C12D62" w:rsidRPr="00C12D62" w:rsidRDefault="00C12D62" w:rsidP="00A97BDC">
      <w:pPr>
        <w:spacing w:before="100" w:beforeAutospacing="1" w:after="100" w:afterAutospacing="1" w:line="360" w:lineRule="auto"/>
        <w:jc w:val="both"/>
        <w:rPr>
          <w:rFonts w:ascii="Calibri" w:eastAsia="Times New Roman" w:hAnsi="Calibri" w:cs="Calibri-Bold"/>
          <w:bCs/>
        </w:rPr>
      </w:pPr>
      <w:r w:rsidRPr="00C12D62">
        <w:rPr>
          <w:rFonts w:ascii="Calibri" w:eastAsia="Times New Roman" w:hAnsi="Calibri" w:cs="Calibri-Bold"/>
          <w:bCs/>
        </w:rPr>
        <w:t xml:space="preserve">Indiferent ce ar face UNBR sau barourile, concurența serviciilor digitale rămâne și nu poate fi stopată în condițiile în care acesta este trendul mondial. Cei care doresc să prindă trenul noilor tehnologii, trebuie să se grăbească! Sunt barouri care au comunicat </w:t>
      </w:r>
      <w:r w:rsidR="00826DAC" w:rsidRPr="00C12D62">
        <w:rPr>
          <w:rFonts w:ascii="Calibri" w:eastAsia="Times New Roman" w:hAnsi="Calibri" w:cs="Calibri-Bold"/>
          <w:bCs/>
        </w:rPr>
        <w:t>c</w:t>
      </w:r>
      <w:r w:rsidR="00826DAC">
        <w:rPr>
          <w:rFonts w:ascii="Calibri" w:eastAsia="Times New Roman" w:hAnsi="Calibri" w:cs="Calibri-Bold"/>
          <w:bCs/>
        </w:rPr>
        <w:t>ă</w:t>
      </w:r>
      <w:r w:rsidR="00826DAC" w:rsidRPr="00C12D62">
        <w:rPr>
          <w:rFonts w:ascii="Calibri" w:eastAsia="Times New Roman" w:hAnsi="Calibri" w:cs="Calibri-Bold"/>
          <w:bCs/>
        </w:rPr>
        <w:t xml:space="preserve"> </w:t>
      </w:r>
      <w:r w:rsidRPr="00C12D62">
        <w:rPr>
          <w:rFonts w:ascii="Calibri" w:eastAsia="Times New Roman" w:hAnsi="Calibri" w:cs="Calibri-Bold"/>
          <w:bCs/>
        </w:rPr>
        <w:t>asigură</w:t>
      </w:r>
      <w:r w:rsidR="00375091">
        <w:rPr>
          <w:rFonts w:ascii="Calibri" w:eastAsia="Times New Roman" w:hAnsi="Calibri" w:cs="Calibri-Bold"/>
          <w:bCs/>
        </w:rPr>
        <w:t xml:space="preserve"> </w:t>
      </w:r>
      <w:r w:rsidRPr="00C12D62">
        <w:rPr>
          <w:rFonts w:ascii="Calibri" w:eastAsia="Times New Roman" w:hAnsi="Calibri" w:cs="Calibri-Bold"/>
          <w:bCs/>
        </w:rPr>
        <w:t>pentru avocați</w:t>
      </w:r>
      <w:r w:rsidR="00375091">
        <w:rPr>
          <w:rFonts w:ascii="Calibri" w:eastAsia="Times New Roman" w:hAnsi="Calibri" w:cs="Calibri-Bold"/>
          <w:bCs/>
        </w:rPr>
        <w:t xml:space="preserve"> </w:t>
      </w:r>
      <w:r w:rsidRPr="00C12D62">
        <w:rPr>
          <w:rFonts w:ascii="Calibri" w:eastAsia="Times New Roman" w:hAnsi="Calibri" w:cs="Calibri-Bold"/>
          <w:bCs/>
        </w:rPr>
        <w:t xml:space="preserve">abonamente </w:t>
      </w:r>
      <w:r w:rsidR="00826DAC">
        <w:rPr>
          <w:rFonts w:ascii="Calibri" w:eastAsia="Times New Roman" w:hAnsi="Calibri" w:cs="Calibri-Bold"/>
          <w:bCs/>
        </w:rPr>
        <w:t>î</w:t>
      </w:r>
      <w:r w:rsidR="00826DAC" w:rsidRPr="00C12D62">
        <w:rPr>
          <w:rFonts w:ascii="Calibri" w:eastAsia="Times New Roman" w:hAnsi="Calibri" w:cs="Calibri-Bold"/>
          <w:bCs/>
        </w:rPr>
        <w:t xml:space="preserve">n </w:t>
      </w:r>
      <w:r w:rsidRPr="00C12D62">
        <w:rPr>
          <w:rFonts w:ascii="Calibri" w:eastAsia="Times New Roman" w:hAnsi="Calibri" w:cs="Calibri-Bold"/>
          <w:bCs/>
        </w:rPr>
        <w:t>sistem colectiv la site</w:t>
      </w:r>
      <w:r>
        <w:rPr>
          <w:rFonts w:ascii="Calibri" w:eastAsia="Times New Roman" w:hAnsi="Calibri" w:cs="Calibri-Bold"/>
          <w:bCs/>
        </w:rPr>
        <w:t>-</w:t>
      </w:r>
      <w:r w:rsidRPr="00C12D62">
        <w:rPr>
          <w:rFonts w:ascii="Calibri" w:eastAsia="Times New Roman" w:hAnsi="Calibri" w:cs="Calibri-Bold"/>
          <w:bCs/>
        </w:rPr>
        <w:t>uri de informație juridică ! Uniți poate realizăm acest deziderat cu resurse drămuite!</w:t>
      </w:r>
    </w:p>
    <w:p w14:paraId="023AB35E" w14:textId="77777777" w:rsidR="00C12D62" w:rsidRPr="00C12D62" w:rsidRDefault="00C12D62" w:rsidP="00A97BDC">
      <w:pPr>
        <w:spacing w:before="100" w:beforeAutospacing="1" w:after="100" w:afterAutospacing="1" w:line="360" w:lineRule="auto"/>
        <w:jc w:val="both"/>
        <w:rPr>
          <w:rFonts w:ascii="Calibri" w:eastAsia="Times New Roman" w:hAnsi="Calibri" w:cs="Calibri-Bold"/>
          <w:bCs/>
        </w:rPr>
      </w:pPr>
      <w:r w:rsidRPr="00C12D62">
        <w:rPr>
          <w:rFonts w:ascii="Calibri" w:eastAsia="Times New Roman" w:hAnsi="Calibri" w:cs="Calibri-Bold"/>
          <w:bCs/>
        </w:rPr>
        <w:t>Vă rog să nu ezitați să veniți cu idei inovative, prin care să facem față revoluției digitale. Dacă profesia e coagulată, vom reuși să învingem orice obstacol și să-l transformăm în oportunitate!</w:t>
      </w:r>
    </w:p>
    <w:p w14:paraId="20FFCB02" w14:textId="77777777" w:rsidR="00A97BDC" w:rsidRDefault="00A97BDC" w:rsidP="00A97BDC">
      <w:pPr>
        <w:spacing w:before="100" w:beforeAutospacing="1" w:after="100" w:afterAutospacing="1" w:line="360" w:lineRule="auto"/>
        <w:rPr>
          <w:rFonts w:ascii="Calibri" w:eastAsia="Times New Roman" w:hAnsi="Calibri" w:cs="Calibri-Bold"/>
          <w:bCs/>
        </w:rPr>
      </w:pPr>
    </w:p>
    <w:p w14:paraId="101BC580" w14:textId="77777777" w:rsidR="00C12D62" w:rsidRPr="00C12D62" w:rsidRDefault="00C12D62" w:rsidP="00A97BDC">
      <w:pPr>
        <w:spacing w:before="100" w:beforeAutospacing="1" w:after="100" w:afterAutospacing="1" w:line="360" w:lineRule="auto"/>
        <w:rPr>
          <w:rFonts w:ascii="Calibri" w:eastAsia="Times New Roman" w:hAnsi="Calibri" w:cs="Calibri-Bold"/>
          <w:bCs/>
        </w:rPr>
      </w:pPr>
      <w:r w:rsidRPr="00C12D62">
        <w:rPr>
          <w:rFonts w:ascii="Calibri" w:eastAsia="Times New Roman" w:hAnsi="Calibri" w:cs="Calibri-Bold"/>
          <w:bCs/>
        </w:rPr>
        <w:t>Președinte</w:t>
      </w:r>
      <w:r w:rsidR="00826DAC">
        <w:rPr>
          <w:rFonts w:ascii="Calibri" w:eastAsia="Times New Roman" w:hAnsi="Calibri" w:cs="Calibri-Bold"/>
          <w:bCs/>
        </w:rPr>
        <w:t>le</w:t>
      </w:r>
      <w:r w:rsidRPr="00C12D62">
        <w:rPr>
          <w:rFonts w:ascii="Calibri" w:eastAsia="Times New Roman" w:hAnsi="Calibri" w:cs="Calibri-Bold"/>
          <w:bCs/>
        </w:rPr>
        <w:t xml:space="preserve"> UNBR</w:t>
      </w:r>
    </w:p>
    <w:p w14:paraId="14748BB4" w14:textId="77777777" w:rsidR="00C12D62" w:rsidRPr="00C12D62" w:rsidRDefault="00C12D62" w:rsidP="00C12D62">
      <w:pPr>
        <w:tabs>
          <w:tab w:val="left" w:pos="7110"/>
        </w:tabs>
        <w:spacing w:before="100" w:beforeAutospacing="1" w:after="100" w:afterAutospacing="1" w:line="360" w:lineRule="auto"/>
        <w:rPr>
          <w:rFonts w:ascii="Calibri" w:eastAsia="Times New Roman" w:hAnsi="Calibri" w:cs="Calibri-Bold"/>
          <w:bCs/>
        </w:rPr>
      </w:pPr>
      <w:r w:rsidRPr="00C12D62">
        <w:rPr>
          <w:rFonts w:ascii="Calibri" w:eastAsia="Times New Roman" w:hAnsi="Calibri" w:cs="Calibri-Bold"/>
          <w:bCs/>
        </w:rPr>
        <w:t>av. Gheorghe Florea</w:t>
      </w:r>
    </w:p>
    <w:p w14:paraId="562047D0" w14:textId="77777777" w:rsidR="00C12D62" w:rsidRPr="00C12D62" w:rsidRDefault="00C12D62" w:rsidP="00C12D62">
      <w:pPr>
        <w:tabs>
          <w:tab w:val="left" w:pos="7110"/>
        </w:tabs>
        <w:spacing w:before="100" w:beforeAutospacing="1" w:after="100" w:afterAutospacing="1" w:line="360" w:lineRule="auto"/>
        <w:rPr>
          <w:rFonts w:ascii="Calibri" w:eastAsia="Times New Roman" w:hAnsi="Calibri" w:cs="Calibri-Bold"/>
          <w:bCs/>
        </w:rPr>
      </w:pPr>
    </w:p>
    <w:p w14:paraId="2F6FE515" w14:textId="77777777" w:rsidR="00C12D62" w:rsidRPr="00C12D62" w:rsidRDefault="00C12D62" w:rsidP="00C12D62">
      <w:pPr>
        <w:spacing w:before="100" w:beforeAutospacing="1" w:after="100" w:afterAutospacing="1" w:line="360" w:lineRule="auto"/>
        <w:rPr>
          <w:rFonts w:ascii="Calibri" w:eastAsia="Times New Roman" w:hAnsi="Calibri" w:cs="Calibri-Bold"/>
          <w:bCs/>
        </w:rPr>
      </w:pPr>
    </w:p>
    <w:p w14:paraId="72B42D65" w14:textId="77777777" w:rsidR="002D44AB" w:rsidRPr="00C12D62" w:rsidRDefault="002D44AB" w:rsidP="00C12D62"/>
    <w:sectPr w:rsidR="002D44AB" w:rsidRPr="00C12D62" w:rsidSect="00A97BDC">
      <w:headerReference w:type="default" r:id="rId11"/>
      <w:footerReference w:type="default" r:id="rId12"/>
      <w:pgSz w:w="11906" w:h="16838" w:code="9"/>
      <w:pgMar w:top="1194" w:right="566" w:bottom="360" w:left="1134" w:header="438"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C298" w14:textId="77777777" w:rsidR="007770B2" w:rsidRDefault="007770B2" w:rsidP="0078639A">
      <w:r>
        <w:separator/>
      </w:r>
    </w:p>
  </w:endnote>
  <w:endnote w:type="continuationSeparator" w:id="0">
    <w:p w14:paraId="7573095F" w14:textId="77777777" w:rsidR="007770B2" w:rsidRDefault="007770B2"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146E" w14:textId="521611AC"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36408D23"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65735500"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1490C050"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102E7257"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52CB3" w14:textId="77777777" w:rsidR="007770B2" w:rsidRDefault="007770B2" w:rsidP="0078639A">
      <w:r>
        <w:separator/>
      </w:r>
    </w:p>
  </w:footnote>
  <w:footnote w:type="continuationSeparator" w:id="0">
    <w:p w14:paraId="52F0B89A" w14:textId="77777777" w:rsidR="007770B2" w:rsidRDefault="007770B2" w:rsidP="0078639A">
      <w:r>
        <w:continuationSeparator/>
      </w:r>
    </w:p>
  </w:footnote>
  <w:footnote w:id="1">
    <w:p w14:paraId="77E6C329" w14:textId="0D6479AD" w:rsidR="00C12D62" w:rsidRDefault="00C12D62" w:rsidP="00C12D62">
      <w:pPr>
        <w:pStyle w:val="FootnoteText"/>
      </w:pPr>
      <w:r>
        <w:rPr>
          <w:rStyle w:val="FootnoteReference"/>
        </w:rPr>
        <w:footnoteRef/>
      </w:r>
      <w:r>
        <w:t xml:space="preserve"> </w:t>
      </w:r>
      <w:r w:rsidRPr="001D5361">
        <w:rPr>
          <w:lang w:val="ro-RO"/>
        </w:rPr>
        <w:t>Studiu global</w:t>
      </w:r>
      <w:hyperlink r:id="rId1" w:tgtFrame="_blank" w:history="1">
        <w:r w:rsidRPr="001D5361">
          <w:rPr>
            <w:rStyle w:val="Hyperlink"/>
            <w:lang w:val="ro-RO"/>
          </w:rPr>
          <w:t xml:space="preserve"> “Tendințe în serviciile juridice”:</w:t>
        </w:r>
      </w:hyperlink>
      <w:r w:rsidRPr="001D5361">
        <w:rPr>
          <w:lang w:val="ro-RO"/>
        </w:rPr>
        <w:t xml:space="preserve"> profesia de avocat se schimbă fundamental</w:t>
      </w:r>
    </w:p>
    <w:p w14:paraId="6AD9E637" w14:textId="77777777" w:rsidR="00C12D62" w:rsidRDefault="00375091" w:rsidP="00C12D62">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3DA6" w14:textId="77777777" w:rsidR="0078639A" w:rsidRDefault="00826DAC">
    <w:pPr>
      <w:pStyle w:val="Header"/>
    </w:pPr>
    <w:r>
      <w:rPr>
        <w:noProof/>
        <w:lang w:val="en-US"/>
      </w:rPr>
      <w:drawing>
        <wp:inline distT="0" distB="0" distL="0" distR="0" wp14:anchorId="52CB31B4">
          <wp:extent cx="6191250" cy="1209675"/>
          <wp:effectExtent l="0" t="0" r="0" b="0"/>
          <wp:docPr id="15" name="Picture 15"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9A"/>
    <w:rsid w:val="00035291"/>
    <w:rsid w:val="00041C15"/>
    <w:rsid w:val="00047A64"/>
    <w:rsid w:val="00063053"/>
    <w:rsid w:val="00076674"/>
    <w:rsid w:val="0007736B"/>
    <w:rsid w:val="0008259F"/>
    <w:rsid w:val="000A2141"/>
    <w:rsid w:val="00143B81"/>
    <w:rsid w:val="0015180E"/>
    <w:rsid w:val="00165115"/>
    <w:rsid w:val="00196F8B"/>
    <w:rsid w:val="001D5361"/>
    <w:rsid w:val="001E1290"/>
    <w:rsid w:val="00204D0A"/>
    <w:rsid w:val="002125A9"/>
    <w:rsid w:val="00230CAC"/>
    <w:rsid w:val="00236874"/>
    <w:rsid w:val="00256345"/>
    <w:rsid w:val="00256680"/>
    <w:rsid w:val="00277ABD"/>
    <w:rsid w:val="002D2E3C"/>
    <w:rsid w:val="002D44AB"/>
    <w:rsid w:val="002D4F90"/>
    <w:rsid w:val="002F1109"/>
    <w:rsid w:val="003426FA"/>
    <w:rsid w:val="00353AEB"/>
    <w:rsid w:val="00375091"/>
    <w:rsid w:val="003A079F"/>
    <w:rsid w:val="003A5A75"/>
    <w:rsid w:val="00454A0F"/>
    <w:rsid w:val="004A3A17"/>
    <w:rsid w:val="004B0114"/>
    <w:rsid w:val="004B4EE9"/>
    <w:rsid w:val="005D1D3B"/>
    <w:rsid w:val="006101BC"/>
    <w:rsid w:val="00621A58"/>
    <w:rsid w:val="00624227"/>
    <w:rsid w:val="006528FB"/>
    <w:rsid w:val="006947EB"/>
    <w:rsid w:val="006A6F9D"/>
    <w:rsid w:val="006C1980"/>
    <w:rsid w:val="007218E6"/>
    <w:rsid w:val="00733B45"/>
    <w:rsid w:val="00752A7B"/>
    <w:rsid w:val="007770B2"/>
    <w:rsid w:val="0078639A"/>
    <w:rsid w:val="007C15BA"/>
    <w:rsid w:val="007D1743"/>
    <w:rsid w:val="00824452"/>
    <w:rsid w:val="00826DAC"/>
    <w:rsid w:val="008A1BD2"/>
    <w:rsid w:val="008F6D06"/>
    <w:rsid w:val="00904CFB"/>
    <w:rsid w:val="00985935"/>
    <w:rsid w:val="00985B5E"/>
    <w:rsid w:val="00993DC2"/>
    <w:rsid w:val="00993FFC"/>
    <w:rsid w:val="009B51A6"/>
    <w:rsid w:val="009D5767"/>
    <w:rsid w:val="00A02672"/>
    <w:rsid w:val="00A10D78"/>
    <w:rsid w:val="00A46726"/>
    <w:rsid w:val="00A90332"/>
    <w:rsid w:val="00A97BDC"/>
    <w:rsid w:val="00AD0024"/>
    <w:rsid w:val="00B0216B"/>
    <w:rsid w:val="00B71F38"/>
    <w:rsid w:val="00B850AC"/>
    <w:rsid w:val="00B85FB2"/>
    <w:rsid w:val="00BC1CD5"/>
    <w:rsid w:val="00BE3CE8"/>
    <w:rsid w:val="00C07F79"/>
    <w:rsid w:val="00C12D62"/>
    <w:rsid w:val="00C622D4"/>
    <w:rsid w:val="00CD2127"/>
    <w:rsid w:val="00CF4B41"/>
    <w:rsid w:val="00D37C72"/>
    <w:rsid w:val="00D47470"/>
    <w:rsid w:val="00D55256"/>
    <w:rsid w:val="00D74C27"/>
    <w:rsid w:val="00DA065E"/>
    <w:rsid w:val="00DC17F5"/>
    <w:rsid w:val="00DC2592"/>
    <w:rsid w:val="00E04042"/>
    <w:rsid w:val="00E6304B"/>
    <w:rsid w:val="00E73F42"/>
    <w:rsid w:val="00E94EEF"/>
    <w:rsid w:val="00EC0602"/>
    <w:rsid w:val="00F325B0"/>
    <w:rsid w:val="00F649FD"/>
    <w:rsid w:val="00F72398"/>
    <w:rsid w:val="00F85E77"/>
    <w:rsid w:val="00FA26E8"/>
    <w:rsid w:val="00FB37D7"/>
    <w:rsid w:val="00FF14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45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semiHidden="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styleId="FootnoteText">
    <w:name w:val="footnote text"/>
    <w:basedOn w:val="Normal"/>
    <w:link w:val="FootnoteTextChar"/>
    <w:uiPriority w:val="99"/>
    <w:rsid w:val="00C12D62"/>
    <w:rPr>
      <w:rFonts w:ascii="Calibri" w:eastAsia="Times New Roman" w:hAnsi="Calibri"/>
      <w:sz w:val="20"/>
      <w:szCs w:val="20"/>
      <w:lang w:val="en-US"/>
    </w:rPr>
  </w:style>
  <w:style w:type="character" w:customStyle="1" w:styleId="FootnoteTextChar">
    <w:name w:val="Footnote Text Char"/>
    <w:basedOn w:val="DefaultParagraphFont"/>
    <w:link w:val="FootnoteText"/>
    <w:uiPriority w:val="99"/>
    <w:rsid w:val="00C12D62"/>
    <w:rPr>
      <w:rFonts w:ascii="Calibri" w:eastAsia="Times New Roman" w:hAnsi="Calibri"/>
      <w:lang w:val="en-US" w:eastAsia="en-US"/>
    </w:rPr>
  </w:style>
  <w:style w:type="character" w:styleId="FootnoteReference">
    <w:name w:val="footnote reference"/>
    <w:uiPriority w:val="99"/>
    <w:rsid w:val="00C12D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fep.ro/Account/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s://www.ifep.ro/Default.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deloitte.com/ro/ro/pages/about-deloitte/articles/future-trends-for-legal-services-2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E811E-0AA6-44EE-AA03-904FBF7A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8955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2017-10-19T18:32:00Z</dcterms:created>
  <dcterms:modified xsi:type="dcterms:W3CDTF">2017-10-19T18:47:00Z</dcterms:modified>
</cp:coreProperties>
</file>