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A266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93.7pt;margin-top:-8.25pt;width:65.25pt;height:65.25pt;z-index:-251659264;visibility:visible">
            <v:imagedata r:id="rId7" o:title=""/>
          </v:shape>
        </w:pict>
      </w:r>
    </w:p>
    <w:p w:rsidR="00A65677" w:rsidRPr="00A26692" w:rsidRDefault="00A65677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</w:p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UNIUNEA NA</w:t>
      </w:r>
      <w:r w:rsidR="00190F9F" w:rsidRPr="00A26692">
        <w:rPr>
          <w:rFonts w:ascii="Verdana" w:hAnsi="Verdana" w:cs="Arial"/>
          <w:b/>
          <w:bCs/>
          <w:color w:val="5F497A"/>
          <w:sz w:val="20"/>
          <w:szCs w:val="20"/>
        </w:rPr>
        <w:t>Ț</w:t>
      </w: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IONALĂ A BAROURILOR DIN ROMÂNIA</w:t>
      </w:r>
    </w:p>
    <w:p w:rsidR="009F4BBD" w:rsidRPr="00A26692" w:rsidRDefault="009F4BBD" w:rsidP="009F4BBD">
      <w:pPr>
        <w:jc w:val="center"/>
        <w:rPr>
          <w:rFonts w:ascii="Verdana" w:hAnsi="Verdana" w:cs="Arial"/>
          <w:b/>
          <w:bCs/>
          <w:color w:val="5F497A"/>
          <w:sz w:val="20"/>
          <w:szCs w:val="20"/>
        </w:rPr>
      </w:pP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Institutul Na</w:t>
      </w:r>
      <w:r w:rsidR="00190F9F" w:rsidRPr="00A26692">
        <w:rPr>
          <w:rFonts w:ascii="Verdana" w:hAnsi="Verdana" w:cs="Arial"/>
          <w:b/>
          <w:bCs/>
          <w:color w:val="5F497A"/>
          <w:sz w:val="20"/>
          <w:szCs w:val="20"/>
        </w:rPr>
        <w:t>ț</w:t>
      </w: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 xml:space="preserve">ional Pentru Pregătirea </w:t>
      </w:r>
      <w:r w:rsidR="00190F9F" w:rsidRPr="00A26692">
        <w:rPr>
          <w:rFonts w:ascii="Verdana" w:hAnsi="Verdana" w:cs="Arial"/>
          <w:b/>
          <w:bCs/>
          <w:color w:val="5F497A"/>
          <w:sz w:val="20"/>
          <w:szCs w:val="20"/>
        </w:rPr>
        <w:t>ș</w:t>
      </w: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i Perfec</w:t>
      </w:r>
      <w:r w:rsidR="00190F9F" w:rsidRPr="00A26692">
        <w:rPr>
          <w:rFonts w:ascii="Verdana" w:hAnsi="Verdana" w:cs="Arial"/>
          <w:b/>
          <w:bCs/>
          <w:color w:val="5F497A"/>
          <w:sz w:val="20"/>
          <w:szCs w:val="20"/>
        </w:rPr>
        <w:t>ț</w:t>
      </w: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ionarea Avoca</w:t>
      </w:r>
      <w:r w:rsidR="00190F9F" w:rsidRPr="00A26692">
        <w:rPr>
          <w:rFonts w:ascii="Verdana" w:hAnsi="Verdana" w:cs="Arial"/>
          <w:b/>
          <w:bCs/>
          <w:color w:val="5F497A"/>
          <w:sz w:val="20"/>
          <w:szCs w:val="20"/>
        </w:rPr>
        <w:t>ț</w:t>
      </w:r>
      <w:r w:rsidRPr="00A26692">
        <w:rPr>
          <w:rFonts w:ascii="Verdana" w:hAnsi="Verdana" w:cs="Arial"/>
          <w:b/>
          <w:bCs/>
          <w:color w:val="5F497A"/>
          <w:sz w:val="20"/>
          <w:szCs w:val="20"/>
        </w:rPr>
        <w:t>ilor</w:t>
      </w:r>
    </w:p>
    <w:p w:rsidR="009F4BBD" w:rsidRPr="00A26692" w:rsidRDefault="009F4BBD" w:rsidP="009F4BBD">
      <w:pPr>
        <w:ind w:left="-720" w:right="-540"/>
        <w:jc w:val="center"/>
        <w:rPr>
          <w:rFonts w:ascii="Verdana" w:hAnsi="Verdana" w:cs="Arial"/>
          <w:color w:val="5F497A"/>
          <w:spacing w:val="14"/>
          <w:sz w:val="16"/>
          <w:szCs w:val="16"/>
        </w:rPr>
      </w:pPr>
      <w:r w:rsidRPr="00A26692">
        <w:rPr>
          <w:rFonts w:ascii="Verdana" w:hAnsi="Verdana" w:cs="Arial"/>
          <w:color w:val="5F497A"/>
          <w:spacing w:val="14"/>
          <w:sz w:val="16"/>
          <w:szCs w:val="16"/>
        </w:rPr>
        <w:t>Bucure</w:t>
      </w:r>
      <w:r w:rsidR="00190F9F" w:rsidRPr="00A26692">
        <w:rPr>
          <w:rFonts w:ascii="Verdana" w:hAnsi="Verdana" w:cs="Arial"/>
          <w:color w:val="5F497A"/>
          <w:spacing w:val="14"/>
          <w:sz w:val="16"/>
          <w:szCs w:val="16"/>
        </w:rPr>
        <w:t>ș</w:t>
      </w:r>
      <w:r w:rsidRPr="00A26692">
        <w:rPr>
          <w:rFonts w:ascii="Verdana" w:hAnsi="Verdana" w:cs="Arial"/>
          <w:color w:val="5F497A"/>
          <w:spacing w:val="14"/>
          <w:sz w:val="16"/>
          <w:szCs w:val="16"/>
        </w:rPr>
        <w:t xml:space="preserve">ti, Str. Vulturilor nr. 23, sector 3, Tel: + 4021/320.03.08; Fax: + 4021/330.12.97 </w:t>
      </w:r>
    </w:p>
    <w:p w:rsidR="009F4BBD" w:rsidRPr="00A26692" w:rsidRDefault="009F4BBD" w:rsidP="009F4BBD">
      <w:pPr>
        <w:jc w:val="center"/>
        <w:rPr>
          <w:sz w:val="20"/>
          <w:szCs w:val="20"/>
        </w:rPr>
      </w:pPr>
      <w:hyperlink r:id="rId8" w:history="1">
        <w:r w:rsidRPr="00A26692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www.inppa.ro</w:t>
        </w:r>
      </w:hyperlink>
      <w:r w:rsidR="00190F9F" w:rsidRPr="00A26692">
        <w:rPr>
          <w:rFonts w:ascii="Verdana" w:hAnsi="Verdana" w:cs="Arial"/>
          <w:color w:val="5F497A"/>
          <w:spacing w:val="20"/>
          <w:sz w:val="20"/>
          <w:szCs w:val="20"/>
        </w:rPr>
        <w:t xml:space="preserve"> </w:t>
      </w:r>
      <w:r w:rsidRPr="00A26692">
        <w:rPr>
          <w:rFonts w:ascii="Verdana" w:hAnsi="Verdana" w:cs="Arial"/>
          <w:color w:val="5F497A"/>
          <w:spacing w:val="20"/>
          <w:sz w:val="20"/>
          <w:szCs w:val="20"/>
        </w:rPr>
        <w:t xml:space="preserve">email: </w:t>
      </w:r>
      <w:hyperlink r:id="rId9" w:history="1">
        <w:r w:rsidRPr="00A26692">
          <w:rPr>
            <w:rStyle w:val="Hyperlink"/>
            <w:rFonts w:ascii="Verdana" w:hAnsi="Verdana" w:cs="Arial"/>
            <w:color w:val="5F497A"/>
            <w:spacing w:val="20"/>
            <w:sz w:val="20"/>
            <w:szCs w:val="20"/>
          </w:rPr>
          <w:t>office@inppa.ro</w:t>
        </w:r>
      </w:hyperlink>
    </w:p>
    <w:p w:rsidR="009F4BBD" w:rsidRPr="00A26692" w:rsidRDefault="009F4BBD" w:rsidP="009F4BBD">
      <w:pPr>
        <w:jc w:val="center"/>
        <w:rPr>
          <w:sz w:val="20"/>
          <w:szCs w:val="20"/>
        </w:rPr>
      </w:pPr>
    </w:p>
    <w:p w:rsidR="009F4BBD" w:rsidRPr="00A26692" w:rsidRDefault="009F4BBD" w:rsidP="009F4BBD">
      <w:pPr>
        <w:jc w:val="center"/>
        <w:rPr>
          <w:rFonts w:ascii="Calibri" w:hAnsi="Calibri"/>
          <w:sz w:val="26"/>
          <w:szCs w:val="26"/>
        </w:rPr>
      </w:pPr>
      <w:r w:rsidRPr="00A26692">
        <w:pict>
          <v:group id="Group 5" o:spid="_x0000_s1027" style="position:absolute;left:0;text-align:left;margin-left:18pt;margin-top:-.35pt;width:427.85pt;height:9pt;z-index:-251658240" coordsize="7033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">
            <v:line id="Line 2" o:spid="_x0000_s1028" style="position:absolute;visibility:visible" from="0,0" to="703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jCJcIAAADaAAAADwAAAGRycy9kb3ducmV2LnhtbESPT4vCMBTE78J+h/AWvNlUBZGuUaQo&#10;LKwX/4DXR/O2aW1eShO1+umNsLDHYWZ+wyxWvW3EjTpfOVYwTlIQxIXTFZcKTsftaA7CB2SNjWNS&#10;8CAPq+XHYIGZdnfe0+0QShEh7DNUYEJoMyl9YciiT1xLHL1f11kMUXal1B3eI9w2cpKmM2mx4rhg&#10;sKXcUHE5XK2C7czrDdY7Q8/pz+Z8LfNLXedKDT/79ReIQH34D/+1v7WCCbyvxBsgl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OjCJcIAAADaAAAADwAAAAAAAAAAAAAA&#10;AAChAgAAZHJzL2Rvd25yZXYueG1sUEsFBgAAAAAEAAQA+QAAAJADAAAAAA==&#10;" strokecolor="#404040" strokeweight="2.25pt"/>
            <v:line id="Line 3" o:spid="_x0000_s1029" style="position:absolute;visibility:visible" from="0,762" to="70338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sPLcQAAADaAAAADwAAAGRycy9kb3ducmV2LnhtbESPQWvCQBSE7wX/w/KE3uqmClZSV2kF&#10;aUUoJFpob4/sMxubfRuy2xj/vSsIHoeZ+YaZL3tbi45aXzlW8DxKQBAXTldcKtjv1k8zED4ga6wd&#10;k4IzeVguBg9zTLU7cUZdHkoRIexTVGBCaFIpfWHIoh+5hjh6B9daDFG2pdQtniLc1nKcJFNpseK4&#10;YLChlaHiL/+3CrYf3SZjU+c/2fevm3wde1y9vCv1OOzfXkEE6sM9fGt/agUTuF6JN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2w8txAAAANoAAAAPAAAAAAAAAAAA&#10;AAAAAKECAABkcnMvZG93bnJldi54bWxQSwUGAAAAAAQABAD5AAAAkgMAAAAA&#10;" strokecolor="#404040" strokeweight=".25pt"/>
          </v:group>
        </w:pict>
      </w:r>
    </w:p>
    <w:p w:rsidR="007053A9" w:rsidRPr="00A26692" w:rsidRDefault="00446097" w:rsidP="002A171D">
      <w:pPr>
        <w:jc w:val="right"/>
        <w:rPr>
          <w:rFonts w:ascii="Calibri" w:hAnsi="Calibri"/>
          <w:b/>
          <w:sz w:val="20"/>
          <w:szCs w:val="20"/>
        </w:rPr>
      </w:pPr>
      <w:r w:rsidRPr="00A26692">
        <w:rPr>
          <w:rFonts w:ascii="Calibri" w:hAnsi="Calibri"/>
          <w:b/>
          <w:sz w:val="20"/>
          <w:szCs w:val="20"/>
        </w:rPr>
        <w:t>Nr. 7627</w:t>
      </w:r>
    </w:p>
    <w:p w:rsidR="00446097" w:rsidRPr="00A26692" w:rsidRDefault="00446097" w:rsidP="002A171D">
      <w:pPr>
        <w:jc w:val="right"/>
        <w:rPr>
          <w:rFonts w:ascii="Calibri" w:hAnsi="Calibri"/>
          <w:b/>
          <w:sz w:val="28"/>
          <w:szCs w:val="28"/>
        </w:rPr>
      </w:pPr>
      <w:r w:rsidRPr="00A26692">
        <w:rPr>
          <w:rFonts w:ascii="Calibri" w:hAnsi="Calibri"/>
          <w:b/>
          <w:sz w:val="20"/>
          <w:szCs w:val="20"/>
        </w:rPr>
        <w:t>Data: 14.06.2017</w:t>
      </w:r>
    </w:p>
    <w:p w:rsidR="007053A9" w:rsidRPr="00A26692" w:rsidRDefault="007053A9" w:rsidP="007053A9">
      <w:pPr>
        <w:rPr>
          <w:rFonts w:ascii="Calibri" w:hAnsi="Calibri"/>
          <w:b/>
          <w:sz w:val="28"/>
          <w:szCs w:val="28"/>
        </w:rPr>
      </w:pPr>
      <w:r w:rsidRPr="00A26692">
        <w:rPr>
          <w:rFonts w:ascii="Calibri" w:hAnsi="Calibri"/>
          <w:b/>
          <w:sz w:val="28"/>
          <w:szCs w:val="28"/>
        </w:rPr>
        <w:tab/>
        <w:t xml:space="preserve">Către </w:t>
      </w:r>
    </w:p>
    <w:p w:rsidR="007053A9" w:rsidRPr="00A26692" w:rsidRDefault="007053A9" w:rsidP="007053A9">
      <w:pPr>
        <w:rPr>
          <w:rFonts w:ascii="Calibri" w:hAnsi="Calibri"/>
          <w:b/>
          <w:i/>
          <w:sz w:val="28"/>
          <w:szCs w:val="28"/>
        </w:rPr>
      </w:pPr>
      <w:r w:rsidRPr="00A26692">
        <w:rPr>
          <w:rFonts w:ascii="Calibri" w:hAnsi="Calibri"/>
          <w:b/>
          <w:i/>
          <w:sz w:val="28"/>
          <w:szCs w:val="28"/>
        </w:rPr>
        <w:tab/>
      </w:r>
      <w:r w:rsidRPr="00A26692">
        <w:rPr>
          <w:rFonts w:ascii="Calibri" w:hAnsi="Calibri"/>
          <w:b/>
          <w:i/>
          <w:sz w:val="28"/>
          <w:szCs w:val="28"/>
        </w:rPr>
        <w:tab/>
      </w:r>
      <w:r w:rsidRPr="00A26692">
        <w:rPr>
          <w:rFonts w:ascii="Calibri" w:hAnsi="Calibri"/>
          <w:b/>
          <w:i/>
          <w:sz w:val="28"/>
          <w:szCs w:val="28"/>
        </w:rPr>
        <w:tab/>
        <w:t>Uniunea Na</w:t>
      </w:r>
      <w:r w:rsidR="00190F9F" w:rsidRPr="00A26692">
        <w:rPr>
          <w:rFonts w:ascii="Calibri" w:hAnsi="Calibri"/>
          <w:b/>
          <w:i/>
          <w:sz w:val="28"/>
          <w:szCs w:val="28"/>
        </w:rPr>
        <w:t>ț</w:t>
      </w:r>
      <w:r w:rsidRPr="00A26692">
        <w:rPr>
          <w:rFonts w:ascii="Calibri" w:hAnsi="Calibri"/>
          <w:b/>
          <w:i/>
          <w:sz w:val="28"/>
          <w:szCs w:val="28"/>
        </w:rPr>
        <w:t>ională a Barourilor din România</w:t>
      </w:r>
    </w:p>
    <w:p w:rsidR="007053A9" w:rsidRPr="00A26692" w:rsidRDefault="007053A9" w:rsidP="007053A9">
      <w:pPr>
        <w:rPr>
          <w:rFonts w:ascii="Calibri" w:hAnsi="Calibri"/>
          <w:b/>
          <w:i/>
          <w:sz w:val="28"/>
          <w:szCs w:val="28"/>
        </w:rPr>
      </w:pPr>
      <w:r w:rsidRPr="00A26692">
        <w:rPr>
          <w:rFonts w:ascii="Calibri" w:hAnsi="Calibri"/>
          <w:b/>
          <w:i/>
          <w:sz w:val="28"/>
          <w:szCs w:val="28"/>
        </w:rPr>
        <w:tab/>
      </w:r>
      <w:r w:rsidRPr="00A26692">
        <w:rPr>
          <w:rFonts w:ascii="Calibri" w:hAnsi="Calibri"/>
          <w:b/>
          <w:i/>
          <w:sz w:val="28"/>
          <w:szCs w:val="28"/>
        </w:rPr>
        <w:tab/>
      </w:r>
      <w:r w:rsidRPr="00A26692">
        <w:rPr>
          <w:rFonts w:ascii="Calibri" w:hAnsi="Calibri"/>
          <w:b/>
          <w:i/>
          <w:sz w:val="28"/>
          <w:szCs w:val="28"/>
        </w:rPr>
        <w:tab/>
        <w:t>În aten</w:t>
      </w:r>
      <w:r w:rsidR="00190F9F" w:rsidRPr="00A26692">
        <w:rPr>
          <w:rFonts w:ascii="Calibri" w:hAnsi="Calibri"/>
          <w:b/>
          <w:i/>
          <w:sz w:val="28"/>
          <w:szCs w:val="28"/>
        </w:rPr>
        <w:t>ț</w:t>
      </w:r>
      <w:r w:rsidRPr="00A26692">
        <w:rPr>
          <w:rFonts w:ascii="Calibri" w:hAnsi="Calibri"/>
          <w:b/>
          <w:i/>
          <w:sz w:val="28"/>
          <w:szCs w:val="28"/>
        </w:rPr>
        <w:t>ia domnului av. dr. Gheorghe Florea, Pre</w:t>
      </w:r>
      <w:r w:rsidR="00190F9F" w:rsidRPr="00A26692">
        <w:rPr>
          <w:rFonts w:ascii="Calibri" w:hAnsi="Calibri"/>
          <w:b/>
          <w:i/>
          <w:sz w:val="28"/>
          <w:szCs w:val="28"/>
        </w:rPr>
        <w:t>ș</w:t>
      </w:r>
      <w:r w:rsidRPr="00A26692">
        <w:rPr>
          <w:rFonts w:ascii="Calibri" w:hAnsi="Calibri"/>
          <w:b/>
          <w:i/>
          <w:sz w:val="28"/>
          <w:szCs w:val="28"/>
        </w:rPr>
        <w:t>edinte</w:t>
      </w:r>
    </w:p>
    <w:p w:rsidR="007053A9" w:rsidRPr="00A26692" w:rsidRDefault="007053A9" w:rsidP="007053A9">
      <w:pPr>
        <w:jc w:val="both"/>
        <w:rPr>
          <w:rFonts w:ascii="Calibri" w:hAnsi="Calibri"/>
          <w:sz w:val="28"/>
          <w:szCs w:val="28"/>
        </w:rPr>
      </w:pPr>
    </w:p>
    <w:p w:rsidR="007053A9" w:rsidRPr="00A26692" w:rsidRDefault="002A171D" w:rsidP="002A171D">
      <w:pPr>
        <w:ind w:firstLine="567"/>
        <w:jc w:val="both"/>
        <w:rPr>
          <w:rFonts w:ascii="Calibri" w:hAnsi="Calibri"/>
          <w:sz w:val="26"/>
          <w:szCs w:val="26"/>
        </w:rPr>
      </w:pPr>
      <w:r w:rsidRPr="00A26692">
        <w:rPr>
          <w:rFonts w:ascii="Calibri" w:hAnsi="Calibri"/>
          <w:sz w:val="26"/>
          <w:szCs w:val="26"/>
        </w:rPr>
        <w:t>Vă comunicăm, mai jos, punctul de vedere al Institutului Na</w:t>
      </w:r>
      <w:r w:rsidR="00190F9F" w:rsidRPr="00A26692">
        <w:rPr>
          <w:rFonts w:ascii="Calibri" w:hAnsi="Calibri"/>
          <w:sz w:val="26"/>
          <w:szCs w:val="26"/>
        </w:rPr>
        <w:t>ț</w:t>
      </w:r>
      <w:r w:rsidRPr="00A26692">
        <w:rPr>
          <w:rFonts w:ascii="Calibri" w:hAnsi="Calibri"/>
          <w:sz w:val="26"/>
          <w:szCs w:val="26"/>
        </w:rPr>
        <w:t xml:space="preserve">ional pentru Pregătirea </w:t>
      </w:r>
      <w:r w:rsidR="00190F9F" w:rsidRPr="00A26692">
        <w:rPr>
          <w:rFonts w:ascii="Calibri" w:hAnsi="Calibri"/>
          <w:sz w:val="26"/>
          <w:szCs w:val="26"/>
        </w:rPr>
        <w:t>ș</w:t>
      </w:r>
      <w:r w:rsidRPr="00A26692">
        <w:rPr>
          <w:rFonts w:ascii="Calibri" w:hAnsi="Calibri"/>
          <w:sz w:val="26"/>
          <w:szCs w:val="26"/>
        </w:rPr>
        <w:t>i Perfec</w:t>
      </w:r>
      <w:r w:rsidR="00190F9F" w:rsidRPr="00A26692">
        <w:rPr>
          <w:rFonts w:ascii="Calibri" w:hAnsi="Calibri"/>
          <w:sz w:val="26"/>
          <w:szCs w:val="26"/>
        </w:rPr>
        <w:t>ț</w:t>
      </w:r>
      <w:r w:rsidRPr="00A26692">
        <w:rPr>
          <w:rFonts w:ascii="Calibri" w:hAnsi="Calibri"/>
          <w:sz w:val="26"/>
          <w:szCs w:val="26"/>
        </w:rPr>
        <w:t>ionarea Avoca</w:t>
      </w:r>
      <w:r w:rsidR="00190F9F" w:rsidRPr="00A26692">
        <w:rPr>
          <w:rFonts w:ascii="Calibri" w:hAnsi="Calibri"/>
          <w:sz w:val="26"/>
          <w:szCs w:val="26"/>
        </w:rPr>
        <w:t>ț</w:t>
      </w:r>
      <w:r w:rsidRPr="00A26692">
        <w:rPr>
          <w:rFonts w:ascii="Calibri" w:hAnsi="Calibri"/>
          <w:sz w:val="26"/>
          <w:szCs w:val="26"/>
        </w:rPr>
        <w:t>ilor privitor la lucrarea înregistrată la UNBR sub nr.</w:t>
      </w:r>
      <w:r w:rsidR="00C229D6" w:rsidRPr="00A26692">
        <w:rPr>
          <w:rFonts w:ascii="Calibri" w:hAnsi="Calibri"/>
          <w:sz w:val="26"/>
          <w:szCs w:val="26"/>
        </w:rPr>
        <w:t xml:space="preserve"> </w:t>
      </w:r>
      <w:r w:rsidR="00446097" w:rsidRPr="00A26692">
        <w:rPr>
          <w:rFonts w:ascii="Calibri" w:hAnsi="Calibri"/>
          <w:sz w:val="26"/>
          <w:szCs w:val="26"/>
        </w:rPr>
        <w:t>112</w:t>
      </w:r>
      <w:r w:rsidRPr="00A26692">
        <w:rPr>
          <w:rFonts w:ascii="Calibri" w:hAnsi="Calibri"/>
          <w:sz w:val="26"/>
          <w:szCs w:val="26"/>
        </w:rPr>
        <w:t>-</w:t>
      </w:r>
      <w:r w:rsidR="00190F9F" w:rsidRPr="00A26692">
        <w:rPr>
          <w:rFonts w:ascii="Calibri" w:hAnsi="Calibri"/>
          <w:sz w:val="26"/>
          <w:szCs w:val="26"/>
        </w:rPr>
        <w:t>DIV</w:t>
      </w:r>
      <w:r w:rsidRPr="00A26692">
        <w:rPr>
          <w:rFonts w:ascii="Calibri" w:hAnsi="Calibri"/>
          <w:sz w:val="26"/>
          <w:szCs w:val="26"/>
        </w:rPr>
        <w:t>-201</w:t>
      </w:r>
      <w:r w:rsidR="00F50C1D" w:rsidRPr="00A26692">
        <w:rPr>
          <w:rFonts w:ascii="Calibri" w:hAnsi="Calibri"/>
          <w:sz w:val="26"/>
          <w:szCs w:val="26"/>
        </w:rPr>
        <w:t>7</w:t>
      </w:r>
      <w:r w:rsidR="00C736BC" w:rsidRPr="00A26692">
        <w:rPr>
          <w:rFonts w:ascii="Calibri" w:hAnsi="Calibri"/>
          <w:sz w:val="26"/>
          <w:szCs w:val="26"/>
        </w:rPr>
        <w:t xml:space="preserve"> </w:t>
      </w:r>
      <w:r w:rsidRPr="00A26692">
        <w:rPr>
          <w:rFonts w:ascii="Calibri" w:hAnsi="Calibri"/>
          <w:sz w:val="26"/>
          <w:szCs w:val="26"/>
        </w:rPr>
        <w:t xml:space="preserve">pe baza opiniei întocmite de </w:t>
      </w:r>
      <w:r w:rsidR="00C736BC" w:rsidRPr="00A26692">
        <w:rPr>
          <w:rFonts w:ascii="Calibri" w:hAnsi="Calibri"/>
          <w:sz w:val="26"/>
          <w:szCs w:val="26"/>
        </w:rPr>
        <w:t>domnul avocat</w:t>
      </w:r>
      <w:r w:rsidR="00F50C1D" w:rsidRPr="00A26692">
        <w:rPr>
          <w:rFonts w:ascii="Calibri" w:hAnsi="Calibri"/>
          <w:sz w:val="26"/>
          <w:szCs w:val="26"/>
        </w:rPr>
        <w:t xml:space="preserve"> dr.</w:t>
      </w:r>
      <w:r w:rsidR="00C736BC" w:rsidRPr="00A26692">
        <w:rPr>
          <w:rFonts w:ascii="Calibri" w:hAnsi="Calibri"/>
          <w:sz w:val="26"/>
          <w:szCs w:val="26"/>
        </w:rPr>
        <w:t xml:space="preserve"> </w:t>
      </w:r>
      <w:r w:rsidR="00A21D74" w:rsidRPr="00A26692">
        <w:rPr>
          <w:rFonts w:ascii="Calibri" w:hAnsi="Calibri"/>
          <w:sz w:val="26"/>
          <w:szCs w:val="26"/>
        </w:rPr>
        <w:t>Ștefan Naubauer</w:t>
      </w:r>
      <w:r w:rsidR="00C736BC" w:rsidRPr="00A26692">
        <w:rPr>
          <w:rFonts w:ascii="Calibri" w:hAnsi="Calibri"/>
          <w:sz w:val="26"/>
          <w:szCs w:val="26"/>
        </w:rPr>
        <w:t xml:space="preserve">, </w:t>
      </w:r>
      <w:r w:rsidR="00190F9F" w:rsidRPr="00A26692">
        <w:rPr>
          <w:rFonts w:ascii="Calibri" w:hAnsi="Calibri"/>
          <w:sz w:val="26"/>
          <w:szCs w:val="26"/>
        </w:rPr>
        <w:t>Ș</w:t>
      </w:r>
      <w:r w:rsidR="00C736BC" w:rsidRPr="00A26692">
        <w:rPr>
          <w:rFonts w:ascii="Calibri" w:hAnsi="Calibri"/>
          <w:sz w:val="26"/>
          <w:szCs w:val="26"/>
        </w:rPr>
        <w:t>ef</w:t>
      </w:r>
      <w:r w:rsidR="00A21D74" w:rsidRPr="00A26692">
        <w:rPr>
          <w:rFonts w:ascii="Calibri" w:hAnsi="Calibri"/>
          <w:sz w:val="26"/>
          <w:szCs w:val="26"/>
        </w:rPr>
        <w:t>ul</w:t>
      </w:r>
      <w:r w:rsidR="00C736BC" w:rsidRPr="00A26692">
        <w:rPr>
          <w:rFonts w:ascii="Calibri" w:hAnsi="Calibri"/>
          <w:sz w:val="26"/>
          <w:szCs w:val="26"/>
        </w:rPr>
        <w:t xml:space="preserve"> Departament</w:t>
      </w:r>
      <w:r w:rsidR="00A21D74" w:rsidRPr="00A26692">
        <w:rPr>
          <w:rFonts w:ascii="Calibri" w:hAnsi="Calibri"/>
          <w:sz w:val="26"/>
          <w:szCs w:val="26"/>
        </w:rPr>
        <w:t xml:space="preserve">ului de Studii, Cercetări Juridice </w:t>
      </w:r>
      <w:r w:rsidR="00A26692" w:rsidRPr="00A26692">
        <w:rPr>
          <w:rFonts w:ascii="Calibri" w:hAnsi="Calibri"/>
          <w:sz w:val="26"/>
          <w:szCs w:val="26"/>
        </w:rPr>
        <w:t>și</w:t>
      </w:r>
      <w:r w:rsidR="00A21D74" w:rsidRPr="00A26692">
        <w:rPr>
          <w:rFonts w:ascii="Calibri" w:hAnsi="Calibri"/>
          <w:sz w:val="26"/>
          <w:szCs w:val="26"/>
        </w:rPr>
        <w:t xml:space="preserve"> cooperare Internațională</w:t>
      </w:r>
      <w:r w:rsidR="00C736BC" w:rsidRPr="00A26692">
        <w:rPr>
          <w:rFonts w:ascii="Calibri" w:hAnsi="Calibri"/>
          <w:sz w:val="26"/>
          <w:szCs w:val="26"/>
        </w:rPr>
        <w:t xml:space="preserve"> </w:t>
      </w:r>
      <w:r w:rsidR="00A21D74" w:rsidRPr="00A26692">
        <w:rPr>
          <w:rFonts w:ascii="Calibri" w:hAnsi="Calibri"/>
          <w:sz w:val="26"/>
          <w:szCs w:val="26"/>
        </w:rPr>
        <w:t xml:space="preserve">din cadrul </w:t>
      </w:r>
      <w:r w:rsidR="00C736BC" w:rsidRPr="00A26692">
        <w:rPr>
          <w:rFonts w:ascii="Calibri" w:hAnsi="Calibri"/>
          <w:sz w:val="26"/>
          <w:szCs w:val="26"/>
        </w:rPr>
        <w:t xml:space="preserve">INPPA. </w:t>
      </w:r>
    </w:p>
    <w:p w:rsidR="002A171D" w:rsidRPr="00A26692" w:rsidRDefault="002A171D" w:rsidP="002A171D">
      <w:pPr>
        <w:ind w:firstLine="567"/>
        <w:jc w:val="both"/>
        <w:rPr>
          <w:rFonts w:ascii="Calibri" w:hAnsi="Calibri"/>
          <w:sz w:val="26"/>
          <w:szCs w:val="26"/>
        </w:rPr>
      </w:pPr>
    </w:p>
    <w:p w:rsidR="002A171D" w:rsidRPr="00A26692" w:rsidRDefault="002A171D" w:rsidP="002A171D">
      <w:pPr>
        <w:ind w:firstLine="567"/>
        <w:jc w:val="both"/>
        <w:rPr>
          <w:rFonts w:ascii="Calibri" w:hAnsi="Calibri"/>
          <w:b/>
          <w:sz w:val="26"/>
          <w:szCs w:val="26"/>
        </w:rPr>
      </w:pPr>
      <w:r w:rsidRPr="00A26692">
        <w:rPr>
          <w:rFonts w:ascii="Calibri" w:hAnsi="Calibri"/>
          <w:b/>
          <w:sz w:val="26"/>
          <w:szCs w:val="26"/>
        </w:rPr>
        <w:t>Av. dr. Traian BRICIU</w:t>
      </w:r>
      <w:bookmarkStart w:id="0" w:name="_GoBack"/>
      <w:bookmarkEnd w:id="0"/>
    </w:p>
    <w:p w:rsidR="00E9529D" w:rsidRPr="00A26692" w:rsidRDefault="00E9529D" w:rsidP="002A171D">
      <w:pPr>
        <w:ind w:firstLine="567"/>
        <w:jc w:val="both"/>
        <w:rPr>
          <w:rFonts w:ascii="Calibri" w:hAnsi="Calibri"/>
          <w:b/>
          <w:sz w:val="26"/>
          <w:szCs w:val="26"/>
        </w:rPr>
      </w:pPr>
    </w:p>
    <w:p w:rsidR="002A171D" w:rsidRPr="00A26692" w:rsidRDefault="002A171D" w:rsidP="002A171D">
      <w:pPr>
        <w:ind w:firstLine="567"/>
        <w:jc w:val="both"/>
        <w:rPr>
          <w:rFonts w:ascii="Calibri" w:hAnsi="Calibri"/>
          <w:b/>
          <w:sz w:val="26"/>
          <w:szCs w:val="26"/>
        </w:rPr>
      </w:pPr>
      <w:r w:rsidRPr="00A26692">
        <w:rPr>
          <w:rFonts w:ascii="Calibri" w:hAnsi="Calibri"/>
          <w:b/>
          <w:sz w:val="26"/>
          <w:szCs w:val="26"/>
        </w:rPr>
        <w:t>Directorul INPPA</w:t>
      </w:r>
    </w:p>
    <w:p w:rsidR="002A171D" w:rsidRPr="00A26692" w:rsidRDefault="002A171D" w:rsidP="007053A9">
      <w:pPr>
        <w:jc w:val="both"/>
        <w:rPr>
          <w:rFonts w:ascii="Calibri" w:hAnsi="Calibri"/>
          <w:sz w:val="26"/>
          <w:szCs w:val="26"/>
        </w:rPr>
      </w:pPr>
    </w:p>
    <w:p w:rsidR="002A171D" w:rsidRPr="00A26692" w:rsidRDefault="002A171D" w:rsidP="007053A9">
      <w:pPr>
        <w:jc w:val="both"/>
        <w:rPr>
          <w:rFonts w:ascii="Calibri" w:hAnsi="Calibri"/>
          <w:sz w:val="26"/>
          <w:szCs w:val="26"/>
        </w:rPr>
      </w:pPr>
    </w:p>
    <w:p w:rsidR="002A171D" w:rsidRPr="00A26692" w:rsidRDefault="002A171D" w:rsidP="007053A9">
      <w:pPr>
        <w:jc w:val="both"/>
        <w:rPr>
          <w:rFonts w:ascii="Calibri" w:hAnsi="Calibri"/>
          <w:sz w:val="26"/>
          <w:szCs w:val="26"/>
        </w:rPr>
      </w:pPr>
    </w:p>
    <w:p w:rsidR="00446097" w:rsidRPr="00A26692" w:rsidRDefault="00446097" w:rsidP="00335E26">
      <w:pPr>
        <w:shd w:val="clear" w:color="auto" w:fill="D9D9D9"/>
        <w:ind w:firstLine="720"/>
        <w:jc w:val="both"/>
        <w:rPr>
          <w:rFonts w:ascii="Arial" w:eastAsia="Times New Roman" w:hAnsi="Arial" w:cs="Arial"/>
          <w:kern w:val="0"/>
          <w:lang w:eastAsia="en-US"/>
        </w:rPr>
      </w:pPr>
      <w:r w:rsidRPr="00A26692">
        <w:rPr>
          <w:rFonts w:ascii="Arial" w:hAnsi="Arial" w:cs="Arial"/>
          <w:iCs/>
        </w:rPr>
        <w:t>Conform a</w:t>
      </w:r>
      <w:r w:rsidRPr="00A26692">
        <w:rPr>
          <w:rFonts w:ascii="Arial" w:hAnsi="Arial" w:cs="Arial"/>
        </w:rPr>
        <w:t xml:space="preserve">rt. 143 alin. (1) din Legea educației naționale nr. 1/2011, examenele de finalizare a </w:t>
      </w:r>
      <w:r w:rsidRPr="00A26692">
        <w:rPr>
          <w:rFonts w:ascii="Arial" w:hAnsi="Arial" w:cs="Arial"/>
          <w:b/>
          <w:i/>
        </w:rPr>
        <w:t>studiilor în învățământul superior</w:t>
      </w:r>
      <w:r w:rsidRPr="00A26692">
        <w:rPr>
          <w:rFonts w:ascii="Arial" w:hAnsi="Arial" w:cs="Arial"/>
        </w:rPr>
        <w:t xml:space="preserve"> sunt: </w:t>
      </w:r>
      <w:r w:rsidRPr="00A26692">
        <w:rPr>
          <w:rFonts w:ascii="Arial" w:hAnsi="Arial" w:cs="Arial"/>
          <w:b/>
        </w:rPr>
        <w:t xml:space="preserve"> </w:t>
      </w:r>
      <w:r w:rsidRPr="00A26692">
        <w:rPr>
          <w:rFonts w:ascii="Arial" w:hAnsi="Arial" w:cs="Arial"/>
          <w:bCs/>
        </w:rPr>
        <w:t>a)</w:t>
      </w:r>
      <w:r w:rsidRPr="00A26692">
        <w:rPr>
          <w:rStyle w:val="apple-converted-space"/>
          <w:rFonts w:ascii="Arial" w:hAnsi="Arial" w:cs="Arial"/>
        </w:rPr>
        <w:t> </w:t>
      </w:r>
      <w:r w:rsidRPr="00A26692">
        <w:rPr>
          <w:rFonts w:ascii="Arial" w:hAnsi="Arial" w:cs="Arial"/>
          <w:b/>
          <w:i/>
        </w:rPr>
        <w:t>examen de licență, pentru ciclul de studii universitare de licență</w:t>
      </w:r>
      <w:r w:rsidRPr="00A26692">
        <w:rPr>
          <w:rFonts w:ascii="Arial" w:hAnsi="Arial" w:cs="Arial"/>
        </w:rPr>
        <w:t xml:space="preserve"> sau examen de diplomă pentru învățământul din domeniul științelor inginerești;</w:t>
      </w:r>
      <w:r w:rsidRPr="00A26692">
        <w:rPr>
          <w:rFonts w:ascii="Arial" w:hAnsi="Arial" w:cs="Arial"/>
          <w:b/>
        </w:rPr>
        <w:t xml:space="preserve"> </w:t>
      </w:r>
      <w:r w:rsidRPr="00A26692">
        <w:rPr>
          <w:rFonts w:ascii="Arial" w:hAnsi="Arial" w:cs="Arial"/>
          <w:bCs/>
        </w:rPr>
        <w:t>b)</w:t>
      </w:r>
      <w:r w:rsidRPr="00A26692">
        <w:rPr>
          <w:rStyle w:val="apple-converted-space"/>
          <w:rFonts w:ascii="Arial" w:hAnsi="Arial" w:cs="Arial"/>
        </w:rPr>
        <w:t> </w:t>
      </w:r>
      <w:r w:rsidRPr="00A26692">
        <w:rPr>
          <w:rFonts w:ascii="Arial" w:hAnsi="Arial" w:cs="Arial"/>
        </w:rPr>
        <w:t>examen de disertație, pentru ciclul de studii universitare de master;</w:t>
      </w:r>
      <w:r w:rsidRPr="00A26692">
        <w:rPr>
          <w:rFonts w:ascii="Arial" w:hAnsi="Arial" w:cs="Arial"/>
          <w:b/>
        </w:rPr>
        <w:t xml:space="preserve"> </w:t>
      </w:r>
      <w:r w:rsidRPr="00A26692">
        <w:rPr>
          <w:rFonts w:ascii="Arial" w:hAnsi="Arial" w:cs="Arial"/>
          <w:bCs/>
        </w:rPr>
        <w:t>c)</w:t>
      </w:r>
      <w:r w:rsidRPr="00A26692">
        <w:rPr>
          <w:rStyle w:val="apple-converted-space"/>
          <w:rFonts w:ascii="Arial" w:hAnsi="Arial" w:cs="Arial"/>
        </w:rPr>
        <w:t> </w:t>
      </w:r>
      <w:r w:rsidRPr="00A26692">
        <w:rPr>
          <w:rFonts w:ascii="Arial" w:hAnsi="Arial" w:cs="Arial"/>
        </w:rPr>
        <w:t>examen de susținere publică a tezei de doctorat;</w:t>
      </w:r>
      <w:r w:rsidRPr="00A26692">
        <w:rPr>
          <w:rFonts w:ascii="Arial" w:hAnsi="Arial" w:cs="Arial"/>
          <w:b/>
        </w:rPr>
        <w:t xml:space="preserve"> </w:t>
      </w:r>
      <w:r w:rsidRPr="00A26692">
        <w:rPr>
          <w:rFonts w:ascii="Arial" w:hAnsi="Arial" w:cs="Arial"/>
          <w:bCs/>
        </w:rPr>
        <w:t>d)</w:t>
      </w:r>
      <w:r w:rsidRPr="00A26692">
        <w:rPr>
          <w:rStyle w:val="apple-converted-space"/>
          <w:rFonts w:ascii="Arial" w:hAnsi="Arial" w:cs="Arial"/>
        </w:rPr>
        <w:t> </w:t>
      </w:r>
      <w:r w:rsidRPr="00A26692">
        <w:rPr>
          <w:rFonts w:ascii="Arial" w:hAnsi="Arial" w:cs="Arial"/>
        </w:rPr>
        <w:t>examen de certificare, pentru programele de studii postuniversitare de tip specializare;</w:t>
      </w:r>
      <w:r w:rsidRPr="00A26692">
        <w:rPr>
          <w:rFonts w:ascii="Arial" w:hAnsi="Arial" w:cs="Arial"/>
          <w:b/>
        </w:rPr>
        <w:t xml:space="preserve"> </w:t>
      </w:r>
      <w:r w:rsidRPr="00A26692">
        <w:rPr>
          <w:rFonts w:ascii="Arial" w:hAnsi="Arial" w:cs="Arial"/>
          <w:bCs/>
        </w:rPr>
        <w:t>e)</w:t>
      </w:r>
      <w:r w:rsidRPr="00A26692">
        <w:rPr>
          <w:rStyle w:val="apple-converted-space"/>
          <w:rFonts w:ascii="Arial" w:hAnsi="Arial" w:cs="Arial"/>
        </w:rPr>
        <w:t> </w:t>
      </w:r>
      <w:r w:rsidRPr="00A26692">
        <w:rPr>
          <w:rFonts w:ascii="Arial" w:hAnsi="Arial" w:cs="Arial"/>
        </w:rPr>
        <w:t>examen de selecție, care precedă examenul de licență, în cazul studenților/absolvenților care provin de la instituții de învățământ superior și/sau programe de studii care au intrat în lichidare.</w:t>
      </w:r>
    </w:p>
    <w:p w:rsidR="00446097" w:rsidRPr="00A26692" w:rsidRDefault="00446097" w:rsidP="00335E26">
      <w:pPr>
        <w:shd w:val="clear" w:color="auto" w:fill="D9D9D9"/>
        <w:ind w:firstLine="720"/>
        <w:jc w:val="both"/>
        <w:rPr>
          <w:rFonts w:ascii="Arial" w:hAnsi="Arial" w:cs="Arial"/>
          <w:b/>
          <w:iCs/>
        </w:rPr>
      </w:pPr>
      <w:r w:rsidRPr="00A26692">
        <w:rPr>
          <w:rFonts w:ascii="Arial" w:hAnsi="Arial" w:cs="Arial"/>
        </w:rPr>
        <w:t xml:space="preserve">Prin urmare, în mod evident, </w:t>
      </w:r>
      <w:r w:rsidRPr="00A26692">
        <w:rPr>
          <w:rFonts w:ascii="Arial" w:hAnsi="Arial" w:cs="Arial"/>
          <w:b/>
          <w:i/>
        </w:rPr>
        <w:t>art. 186 teza a doua din Statutul profesiei de avocat se aplică inclusiv persoanelor cu studii juridice superioare obținute în baza examenului de licență</w:t>
      </w:r>
      <w:r w:rsidRPr="00A26692">
        <w:rPr>
          <w:rFonts w:ascii="Arial" w:hAnsi="Arial" w:cs="Arial"/>
        </w:rPr>
        <w:t>, adică licențiaților facultăților de drept cu durata stabilită de lege.</w:t>
      </w:r>
    </w:p>
    <w:p w:rsidR="00A21D74" w:rsidRPr="00A26692" w:rsidRDefault="00446097" w:rsidP="00335E26">
      <w:pPr>
        <w:shd w:val="clear" w:color="auto" w:fill="D9D9D9"/>
        <w:ind w:firstLine="720"/>
        <w:jc w:val="both"/>
        <w:rPr>
          <w:rFonts w:ascii="Arial" w:hAnsi="Arial" w:cs="Arial"/>
          <w:b/>
          <w:iCs/>
        </w:rPr>
      </w:pPr>
      <w:r w:rsidRPr="00A26692">
        <w:rPr>
          <w:rFonts w:ascii="Arial" w:hAnsi="Arial" w:cs="Arial"/>
        </w:rPr>
        <w:t xml:space="preserve">Conform Deciziei cu caracter interpretativ nr. 713 din 12 decembrie 2009 a Consiliului U.N.B.R., adoptarea acestei prevederi a urmărit să împiedice ca persoane care nu au dobândit calitatea de avocat, prin înscrierea lor ca membri ai barourilor, să îndeplinească, prin eludarea textelor legale şi statutare în materie, </w:t>
      </w:r>
      <w:r w:rsidR="00A26692" w:rsidRPr="00A26692">
        <w:rPr>
          <w:rFonts w:ascii="Arial" w:hAnsi="Arial" w:cs="Arial"/>
        </w:rPr>
        <w:t>activități</w:t>
      </w:r>
      <w:r w:rsidRPr="00A26692">
        <w:rPr>
          <w:rFonts w:ascii="Arial" w:hAnsi="Arial" w:cs="Arial"/>
        </w:rPr>
        <w:t xml:space="preserve"> dintre cele prevăzute în mod expres </w:t>
      </w:r>
      <w:r w:rsidR="00A26692" w:rsidRPr="00A26692">
        <w:rPr>
          <w:rFonts w:ascii="Arial" w:hAnsi="Arial" w:cs="Arial"/>
        </w:rPr>
        <w:t>și</w:t>
      </w:r>
      <w:r w:rsidRPr="00A26692">
        <w:rPr>
          <w:rFonts w:ascii="Arial" w:hAnsi="Arial" w:cs="Arial"/>
        </w:rPr>
        <w:t xml:space="preserve"> limitativ în art. 3 din Legea nr. 51/1995. Cu </w:t>
      </w:r>
      <w:r w:rsidR="00A26692" w:rsidRPr="00A26692">
        <w:rPr>
          <w:rFonts w:ascii="Arial" w:hAnsi="Arial" w:cs="Arial"/>
        </w:rPr>
        <w:t>aceeași</w:t>
      </w:r>
      <w:r w:rsidRPr="00A26692">
        <w:rPr>
          <w:rFonts w:ascii="Arial" w:hAnsi="Arial" w:cs="Arial"/>
        </w:rPr>
        <w:t xml:space="preserve"> ocazie s</w:t>
      </w:r>
      <w:r w:rsidRPr="00A26692">
        <w:rPr>
          <w:rFonts w:ascii="Arial" w:hAnsi="Arial" w:cs="Arial"/>
        </w:rPr>
        <w:noBreakHyphen/>
        <w:t xml:space="preserve">a considerat că </w:t>
      </w:r>
      <w:r w:rsidR="00A26692" w:rsidRPr="00A26692">
        <w:rPr>
          <w:rFonts w:ascii="Arial" w:hAnsi="Arial" w:cs="Arial"/>
        </w:rPr>
        <w:t>interdicția</w:t>
      </w:r>
      <w:r w:rsidRPr="00A26692">
        <w:rPr>
          <w:rFonts w:ascii="Arial" w:hAnsi="Arial" w:cs="Arial"/>
        </w:rPr>
        <w:t xml:space="preserve"> </w:t>
      </w:r>
      <w:r w:rsidR="00A26692" w:rsidRPr="00A26692">
        <w:rPr>
          <w:rFonts w:ascii="Arial" w:hAnsi="Arial" w:cs="Arial"/>
        </w:rPr>
        <w:t>menționată</w:t>
      </w:r>
      <w:r w:rsidRPr="00A26692">
        <w:rPr>
          <w:rFonts w:ascii="Arial" w:hAnsi="Arial" w:cs="Arial"/>
        </w:rPr>
        <w:t xml:space="preserve"> nu se poate referi însă </w:t>
      </w:r>
      <w:r w:rsidR="00A26692" w:rsidRPr="00A26692">
        <w:rPr>
          <w:rFonts w:ascii="Arial" w:hAnsi="Arial" w:cs="Arial"/>
        </w:rPr>
        <w:t>și</w:t>
      </w:r>
      <w:r w:rsidRPr="00A26692">
        <w:rPr>
          <w:rFonts w:ascii="Arial" w:hAnsi="Arial" w:cs="Arial"/>
        </w:rPr>
        <w:t xml:space="preserve"> la </w:t>
      </w:r>
      <w:r w:rsidR="00A26692" w:rsidRPr="00A26692">
        <w:rPr>
          <w:rFonts w:ascii="Arial" w:hAnsi="Arial" w:cs="Arial"/>
        </w:rPr>
        <w:t>avocații</w:t>
      </w:r>
      <w:r w:rsidRPr="00A26692">
        <w:rPr>
          <w:rFonts w:ascii="Arial" w:hAnsi="Arial" w:cs="Arial"/>
        </w:rPr>
        <w:t xml:space="preserve"> </w:t>
      </w:r>
      <w:r w:rsidR="00A26692" w:rsidRPr="00A26692">
        <w:rPr>
          <w:rFonts w:ascii="Arial" w:hAnsi="Arial" w:cs="Arial"/>
        </w:rPr>
        <w:t>pensionați</w:t>
      </w:r>
      <w:r w:rsidRPr="00A26692">
        <w:rPr>
          <w:rFonts w:ascii="Arial" w:hAnsi="Arial" w:cs="Arial"/>
        </w:rPr>
        <w:t xml:space="preserve"> cu retragere definitivă din profesie din sistemul Casei de Asigurări a </w:t>
      </w:r>
      <w:r w:rsidR="00A26692" w:rsidRPr="00A26692">
        <w:rPr>
          <w:rFonts w:ascii="Arial" w:hAnsi="Arial" w:cs="Arial"/>
        </w:rPr>
        <w:t>Avocaților</w:t>
      </w:r>
      <w:r w:rsidRPr="00A26692">
        <w:rPr>
          <w:rFonts w:ascii="Arial" w:hAnsi="Arial" w:cs="Arial"/>
        </w:rPr>
        <w:t xml:space="preserve">, întrucât </w:t>
      </w:r>
      <w:r w:rsidR="00A26692" w:rsidRPr="00A26692">
        <w:rPr>
          <w:rFonts w:ascii="Arial" w:hAnsi="Arial" w:cs="Arial"/>
        </w:rPr>
        <w:t>aceștia</w:t>
      </w:r>
      <w:r w:rsidRPr="00A26692">
        <w:rPr>
          <w:rFonts w:ascii="Arial" w:hAnsi="Arial" w:cs="Arial"/>
        </w:rPr>
        <w:t xml:space="preserve"> provin din interiorul profesiei, iar îndeplinirea unor </w:t>
      </w:r>
      <w:r w:rsidR="00A26692" w:rsidRPr="00A26692">
        <w:rPr>
          <w:rFonts w:ascii="Arial" w:hAnsi="Arial" w:cs="Arial"/>
        </w:rPr>
        <w:t>funcții</w:t>
      </w:r>
      <w:r w:rsidRPr="00A26692">
        <w:rPr>
          <w:rFonts w:ascii="Arial" w:hAnsi="Arial" w:cs="Arial"/>
        </w:rPr>
        <w:t xml:space="preserve"> auxiliare de către această categorie de persoane nu încalcă prevederile legale </w:t>
      </w:r>
      <w:r w:rsidR="00A26692" w:rsidRPr="00A26692">
        <w:rPr>
          <w:rFonts w:ascii="Arial" w:hAnsi="Arial" w:cs="Arial"/>
        </w:rPr>
        <w:t>și</w:t>
      </w:r>
      <w:r w:rsidRPr="00A26692">
        <w:rPr>
          <w:rFonts w:ascii="Arial" w:hAnsi="Arial" w:cs="Arial"/>
        </w:rPr>
        <w:t xml:space="preserve"> statutare în materia dobândirii </w:t>
      </w:r>
      <w:r w:rsidR="00A26692" w:rsidRPr="00A26692">
        <w:rPr>
          <w:rFonts w:ascii="Arial" w:hAnsi="Arial" w:cs="Arial"/>
        </w:rPr>
        <w:t>calității</w:t>
      </w:r>
      <w:r w:rsidRPr="00A26692">
        <w:rPr>
          <w:rFonts w:ascii="Arial" w:hAnsi="Arial" w:cs="Arial"/>
        </w:rPr>
        <w:t xml:space="preserve"> de avocat.</w:t>
      </w:r>
      <w:r w:rsidR="00A21D74" w:rsidRPr="00A26692">
        <w:rPr>
          <w:rFonts w:ascii="Arial" w:hAnsi="Arial" w:cs="Arial"/>
          <w:iCs/>
        </w:rPr>
        <w:t xml:space="preserve"> </w:t>
      </w:r>
    </w:p>
    <w:p w:rsidR="00190F9F" w:rsidRPr="00A26692" w:rsidRDefault="00190F9F" w:rsidP="00335E26">
      <w:pPr>
        <w:shd w:val="clear" w:color="auto" w:fill="D9D9D9"/>
        <w:spacing w:line="276" w:lineRule="auto"/>
        <w:ind w:firstLine="360"/>
        <w:jc w:val="both"/>
        <w:rPr>
          <w:rFonts w:ascii="Tahoma" w:hAnsi="Tahoma" w:cs="Tahoma"/>
        </w:rPr>
      </w:pPr>
    </w:p>
    <w:sectPr w:rsidR="00190F9F" w:rsidRPr="00A26692" w:rsidSect="00190F9F">
      <w:pgSz w:w="11906" w:h="16838"/>
      <w:pgMar w:top="540" w:right="99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583" w:rsidRDefault="00CA3583" w:rsidP="007053A9">
      <w:r>
        <w:separator/>
      </w:r>
    </w:p>
  </w:endnote>
  <w:endnote w:type="continuationSeparator" w:id="0">
    <w:p w:rsidR="00CA3583" w:rsidRDefault="00CA3583" w:rsidP="0070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583" w:rsidRDefault="00CA3583" w:rsidP="007053A9">
      <w:r>
        <w:separator/>
      </w:r>
    </w:p>
  </w:footnote>
  <w:footnote w:type="continuationSeparator" w:id="0">
    <w:p w:rsidR="00CA3583" w:rsidRDefault="00CA3583" w:rsidP="0070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A007A"/>
    <w:multiLevelType w:val="hybridMultilevel"/>
    <w:tmpl w:val="063C6A36"/>
    <w:lvl w:ilvl="0" w:tplc="79F8A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82375"/>
    <w:multiLevelType w:val="hybridMultilevel"/>
    <w:tmpl w:val="9DB227AE"/>
    <w:lvl w:ilvl="0" w:tplc="5802D3D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52FFB"/>
    <w:multiLevelType w:val="hybridMultilevel"/>
    <w:tmpl w:val="DCB0C58A"/>
    <w:lvl w:ilvl="0" w:tplc="842AB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B13754"/>
    <w:multiLevelType w:val="hybridMultilevel"/>
    <w:tmpl w:val="D57A4EB8"/>
    <w:lvl w:ilvl="0" w:tplc="2C76F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6356F"/>
    <w:multiLevelType w:val="hybridMultilevel"/>
    <w:tmpl w:val="55700E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7D9"/>
    <w:rsid w:val="000709E2"/>
    <w:rsid w:val="00100903"/>
    <w:rsid w:val="00190F9F"/>
    <w:rsid w:val="001B79A4"/>
    <w:rsid w:val="00255F9F"/>
    <w:rsid w:val="002A171D"/>
    <w:rsid w:val="002A6D43"/>
    <w:rsid w:val="002E59DA"/>
    <w:rsid w:val="003047D9"/>
    <w:rsid w:val="00320290"/>
    <w:rsid w:val="00321731"/>
    <w:rsid w:val="00335E26"/>
    <w:rsid w:val="003835CD"/>
    <w:rsid w:val="00397193"/>
    <w:rsid w:val="00446097"/>
    <w:rsid w:val="0046185B"/>
    <w:rsid w:val="00464E4F"/>
    <w:rsid w:val="004C76E4"/>
    <w:rsid w:val="0053741A"/>
    <w:rsid w:val="005452AA"/>
    <w:rsid w:val="0055752F"/>
    <w:rsid w:val="0057117D"/>
    <w:rsid w:val="005C4D37"/>
    <w:rsid w:val="005D49C9"/>
    <w:rsid w:val="00693425"/>
    <w:rsid w:val="006A5CF0"/>
    <w:rsid w:val="006F1A10"/>
    <w:rsid w:val="006F2408"/>
    <w:rsid w:val="007053A9"/>
    <w:rsid w:val="007566B9"/>
    <w:rsid w:val="0079358B"/>
    <w:rsid w:val="008034B5"/>
    <w:rsid w:val="0081713F"/>
    <w:rsid w:val="00887CBA"/>
    <w:rsid w:val="008A0C51"/>
    <w:rsid w:val="008A73DE"/>
    <w:rsid w:val="008B5A9B"/>
    <w:rsid w:val="008E26B2"/>
    <w:rsid w:val="009120D3"/>
    <w:rsid w:val="00980260"/>
    <w:rsid w:val="009B0E00"/>
    <w:rsid w:val="009E4BB7"/>
    <w:rsid w:val="009F4BBD"/>
    <w:rsid w:val="00A02B0E"/>
    <w:rsid w:val="00A05749"/>
    <w:rsid w:val="00A1411D"/>
    <w:rsid w:val="00A1418E"/>
    <w:rsid w:val="00A21D74"/>
    <w:rsid w:val="00A26692"/>
    <w:rsid w:val="00A370AF"/>
    <w:rsid w:val="00A65677"/>
    <w:rsid w:val="00A87179"/>
    <w:rsid w:val="00B612D8"/>
    <w:rsid w:val="00BD4B38"/>
    <w:rsid w:val="00BD6742"/>
    <w:rsid w:val="00C229D6"/>
    <w:rsid w:val="00C736BC"/>
    <w:rsid w:val="00CA2AA5"/>
    <w:rsid w:val="00CA3583"/>
    <w:rsid w:val="00D26CDA"/>
    <w:rsid w:val="00D35E20"/>
    <w:rsid w:val="00D57BEA"/>
    <w:rsid w:val="00DB4C59"/>
    <w:rsid w:val="00DE6B33"/>
    <w:rsid w:val="00E94890"/>
    <w:rsid w:val="00E9529D"/>
    <w:rsid w:val="00EE306B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228222A-92DF-4054-BD05-52710FC9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Hyperlink">
    <w:name w:val="Hyperlink"/>
    <w:rsid w:val="009F4BB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756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66B9"/>
    <w:rPr>
      <w:rFonts w:ascii="Segoe UI" w:eastAsia="Lucida Sans Unicode" w:hAnsi="Segoe UI" w:cs="Segoe UI"/>
      <w:kern w:val="1"/>
      <w:sz w:val="18"/>
      <w:szCs w:val="18"/>
      <w:lang/>
    </w:rPr>
  </w:style>
  <w:style w:type="paragraph" w:customStyle="1" w:styleId="Frspaiere">
    <w:name w:val="Fără spațiere"/>
    <w:uiPriority w:val="1"/>
    <w:qFormat/>
    <w:rsid w:val="001B79A4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7053A9"/>
    <w:rPr>
      <w:sz w:val="20"/>
      <w:szCs w:val="20"/>
    </w:rPr>
  </w:style>
  <w:style w:type="character" w:customStyle="1" w:styleId="FootnoteTextChar">
    <w:name w:val="Footnote Text Char"/>
    <w:link w:val="FootnoteText"/>
    <w:rsid w:val="007053A9"/>
    <w:rPr>
      <w:rFonts w:eastAsia="Lucida Sans Unicode"/>
      <w:kern w:val="1"/>
      <w:lang/>
    </w:rPr>
  </w:style>
  <w:style w:type="character" w:styleId="FootnoteReference">
    <w:name w:val="footnote reference"/>
    <w:rsid w:val="007053A9"/>
    <w:rPr>
      <w:vertAlign w:val="superscript"/>
    </w:rPr>
  </w:style>
  <w:style w:type="paragraph" w:customStyle="1" w:styleId="Listparagraf">
    <w:name w:val="Listă paragraf"/>
    <w:basedOn w:val="Normal"/>
    <w:uiPriority w:val="34"/>
    <w:qFormat/>
    <w:rsid w:val="00F50C1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 w:eastAsia="en-US"/>
    </w:rPr>
  </w:style>
  <w:style w:type="character" w:customStyle="1" w:styleId="apple-converted-space">
    <w:name w:val="apple-converted-space"/>
    <w:rsid w:val="0044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p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inpp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INPPA</Company>
  <LinksUpToDate>false</LinksUpToDate>
  <CharactersWithSpaces>2613</CharactersWithSpaces>
  <SharedDoc>false</SharedDoc>
  <HLinks>
    <vt:vector size="12" baseType="variant">
      <vt:variant>
        <vt:i4>1507370</vt:i4>
      </vt:variant>
      <vt:variant>
        <vt:i4>3</vt:i4>
      </vt:variant>
      <vt:variant>
        <vt:i4>0</vt:i4>
      </vt:variant>
      <vt:variant>
        <vt:i4>5</vt:i4>
      </vt:variant>
      <vt:variant>
        <vt:lpwstr>mailto:office@inppa.ro</vt:lpwstr>
      </vt:variant>
      <vt:variant>
        <vt:lpwstr/>
      </vt:variant>
      <vt:variant>
        <vt:i4>917519</vt:i4>
      </vt:variant>
      <vt:variant>
        <vt:i4>0</vt:i4>
      </vt:variant>
      <vt:variant>
        <vt:i4>0</vt:i4>
      </vt:variant>
      <vt:variant>
        <vt:i4>5</vt:i4>
      </vt:variant>
      <vt:variant>
        <vt:lpwstr>http://www.inppa.ro/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Bulgacov</dc:creator>
  <cp:keywords/>
  <cp:lastModifiedBy>Sandu Gherasim</cp:lastModifiedBy>
  <cp:revision>3</cp:revision>
  <cp:lastPrinted>2016-12-08T07:31:00Z</cp:lastPrinted>
  <dcterms:created xsi:type="dcterms:W3CDTF">2018-02-07T17:29:00Z</dcterms:created>
  <dcterms:modified xsi:type="dcterms:W3CDTF">2018-02-07T17:30:00Z</dcterms:modified>
</cp:coreProperties>
</file>