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2D6" w:rsidRDefault="005B02D6" w:rsidP="00C74097">
      <w:pPr>
        <w:shd w:val="clear" w:color="auto" w:fill="D9D9D9"/>
        <w:spacing w:line="276" w:lineRule="auto"/>
        <w:jc w:val="center"/>
        <w:rPr>
          <w:rFonts w:ascii="Tahoma" w:hAnsi="Tahoma" w:cs="Tahoma"/>
          <w:b/>
        </w:rPr>
      </w:pPr>
    </w:p>
    <w:p w:rsidR="00C74097" w:rsidRPr="00190F9F" w:rsidRDefault="00C74097" w:rsidP="00C74097">
      <w:pPr>
        <w:shd w:val="clear" w:color="auto" w:fill="D9D9D9"/>
        <w:spacing w:line="276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 w:rsidRPr="00190F9F">
        <w:rPr>
          <w:rFonts w:ascii="Tahoma" w:hAnsi="Tahoma" w:cs="Tahoma"/>
          <w:b/>
        </w:rPr>
        <w:t xml:space="preserve">PUNCT DE VEDERE </w:t>
      </w:r>
    </w:p>
    <w:p w:rsidR="00C74097" w:rsidRPr="00190F9F" w:rsidRDefault="00C74097" w:rsidP="00C74097">
      <w:pPr>
        <w:shd w:val="clear" w:color="auto" w:fill="D9D9D9"/>
        <w:spacing w:line="276" w:lineRule="auto"/>
        <w:jc w:val="center"/>
        <w:rPr>
          <w:rFonts w:ascii="Tahoma" w:hAnsi="Tahoma" w:cs="Tahoma"/>
          <w:b/>
        </w:rPr>
      </w:pPr>
      <w:r w:rsidRPr="00190F9F">
        <w:rPr>
          <w:rFonts w:ascii="Tahoma" w:hAnsi="Tahoma" w:cs="Tahoma"/>
          <w:b/>
        </w:rPr>
        <w:t>CU PRIVIRE LA POSIBILITATEA EXECUTORILOR JUDECĂTORE</w:t>
      </w:r>
      <w:r>
        <w:rPr>
          <w:rFonts w:ascii="Tahoma" w:hAnsi="Tahoma" w:cs="Tahoma"/>
          <w:b/>
        </w:rPr>
        <w:t>Ș</w:t>
      </w:r>
      <w:r w:rsidRPr="00190F9F">
        <w:rPr>
          <w:rFonts w:ascii="Tahoma" w:hAnsi="Tahoma" w:cs="Tahoma"/>
          <w:b/>
        </w:rPr>
        <w:t>TI DE A ACORDA CONSULTA</w:t>
      </w:r>
      <w:r>
        <w:rPr>
          <w:rFonts w:ascii="Tahoma" w:hAnsi="Tahoma" w:cs="Tahoma"/>
          <w:b/>
        </w:rPr>
        <w:t>Ț</w:t>
      </w:r>
      <w:r w:rsidRPr="00190F9F">
        <w:rPr>
          <w:rFonts w:ascii="Tahoma" w:hAnsi="Tahoma" w:cs="Tahoma"/>
          <w:b/>
        </w:rPr>
        <w:t>II JURIDICE, LEGALIZARE HOTĂRÂRI JUDECĂTORE</w:t>
      </w:r>
      <w:r>
        <w:rPr>
          <w:rFonts w:ascii="Tahoma" w:hAnsi="Tahoma" w:cs="Tahoma"/>
          <w:b/>
        </w:rPr>
        <w:t>Ș</w:t>
      </w:r>
      <w:r w:rsidRPr="00190F9F">
        <w:rPr>
          <w:rFonts w:ascii="Tahoma" w:hAnsi="Tahoma" w:cs="Tahoma"/>
          <w:b/>
        </w:rPr>
        <w:t>TI, DARE DE DATĂ CERTĂ ÎNSCRISURILOR, MEDIERE CONFLICTE</w:t>
      </w: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  <w:r w:rsidRPr="00190F9F">
        <w:rPr>
          <w:rFonts w:ascii="Tahoma" w:hAnsi="Tahoma" w:cs="Tahoma"/>
          <w:b/>
        </w:rPr>
        <w:t>Aspecte prealabile</w:t>
      </w: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</w:p>
    <w:p w:rsidR="00C74097" w:rsidRP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  <w:b/>
        </w:rPr>
        <w:tab/>
      </w:r>
      <w:r w:rsidR="005B02D6" w:rsidRPr="00C74097">
        <w:rPr>
          <w:rFonts w:ascii="Tahoma" w:hAnsi="Tahoma" w:cs="Tahoma"/>
        </w:rPr>
        <w:t>Numeroși</w:t>
      </w:r>
      <w:r w:rsidRPr="00C74097">
        <w:rPr>
          <w:rFonts w:ascii="Tahoma" w:hAnsi="Tahoma" w:cs="Tahoma"/>
        </w:rPr>
        <w:t xml:space="preserve"> </w:t>
      </w:r>
      <w:r w:rsidR="005B02D6" w:rsidRPr="00C74097">
        <w:rPr>
          <w:rFonts w:ascii="Tahoma" w:hAnsi="Tahoma" w:cs="Tahoma"/>
        </w:rPr>
        <w:t>avocați</w:t>
      </w:r>
      <w:r w:rsidRPr="00C74097">
        <w:rPr>
          <w:rFonts w:ascii="Tahoma" w:hAnsi="Tahoma" w:cs="Tahoma"/>
        </w:rPr>
        <w:t xml:space="preserve">  au  solicitat  opinia  UNBR cu privire la aspecte cu privire la o suprapunere de competențe, neacceptată de normele legale, în ceea ce privește activitatea specifică executorului judecătoresc, prin raportare la activitatea altor profesii juridice, în special cea de avocat.</w:t>
      </w: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ab/>
        <w:t>Astfel, se semnalează faptul că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desfă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oară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care s-ar suprapune cu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exclusivă a avocatului, a notarului public sau a mediatorului. Acestea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ar consta în consulta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juridice, legalizări de hotărâri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ti, dare de dată certă înscrisurilor, mediere conflicte.</w:t>
      </w: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ab/>
      </w:r>
      <w:r>
        <w:rPr>
          <w:rFonts w:ascii="Tahoma" w:hAnsi="Tahoma" w:cs="Tahoma"/>
        </w:rPr>
        <w:t>O</w:t>
      </w:r>
      <w:r w:rsidRPr="00190F9F">
        <w:rPr>
          <w:rFonts w:ascii="Tahoma" w:hAnsi="Tahoma" w:cs="Tahoma"/>
        </w:rPr>
        <w:t xml:space="preserve"> parte dintre aceste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ar fi prestate pro bono/gratuită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i, sens în care se ajunge la o subapreciere ori descalificare a valorii serviciilor oferite de către avoca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i.</w:t>
      </w: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ab/>
        <w:t xml:space="preserve">În sprijinul acestor constatări se aduc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argumente de drept, respectiv Decizia ÎCCJ nr. 15/2015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Ordinul MJ nr. 2550/C/2006.  </w:t>
      </w:r>
      <w:r>
        <w:rPr>
          <w:rFonts w:ascii="Tahoma" w:hAnsi="Tahoma" w:cs="Tahoma"/>
        </w:rPr>
        <w:t>M</w:t>
      </w:r>
      <w:r w:rsidRPr="00190F9F">
        <w:rPr>
          <w:rFonts w:ascii="Tahoma" w:hAnsi="Tahoma" w:cs="Tahoma"/>
        </w:rPr>
        <w:t>emori</w:t>
      </w:r>
      <w:r>
        <w:rPr>
          <w:rFonts w:ascii="Tahoma" w:hAnsi="Tahoma" w:cs="Tahoma"/>
        </w:rPr>
        <w:t xml:space="preserve">ile adresate </w:t>
      </w:r>
      <w:r w:rsidRPr="00190F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au </w:t>
      </w:r>
      <w:r w:rsidRPr="00190F9F">
        <w:rPr>
          <w:rFonts w:ascii="Tahoma" w:hAnsi="Tahoma" w:cs="Tahoma"/>
        </w:rPr>
        <w:t>ata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ate extrase online de pe diferite site-uri apar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inând formelor de exercitare a profesiei de executor judecătoresc care dovedesc o ofertă de servicii juridice în acest sens. </w:t>
      </w: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S-a solicitat analiza in drept a problemei de </w:t>
      </w:r>
      <w:r w:rsidR="005B02D6">
        <w:rPr>
          <w:rFonts w:ascii="Tahoma" w:hAnsi="Tahoma" w:cs="Tahoma"/>
        </w:rPr>
        <w:t>către</w:t>
      </w:r>
      <w:r>
        <w:rPr>
          <w:rFonts w:ascii="Tahoma" w:hAnsi="Tahoma" w:cs="Tahoma"/>
        </w:rPr>
        <w:t xml:space="preserve"> Institutul National pentru </w:t>
      </w:r>
      <w:r w:rsidR="005B02D6">
        <w:rPr>
          <w:rFonts w:ascii="Tahoma" w:hAnsi="Tahoma" w:cs="Tahoma"/>
        </w:rPr>
        <w:t>Pregătirea</w:t>
      </w:r>
      <w:r>
        <w:rPr>
          <w:rFonts w:ascii="Tahoma" w:hAnsi="Tahoma" w:cs="Tahoma"/>
        </w:rPr>
        <w:t xml:space="preserve"> </w:t>
      </w:r>
      <w:r w:rsidR="005B02D6">
        <w:rPr>
          <w:rFonts w:ascii="Tahoma" w:hAnsi="Tahoma" w:cs="Tahoma"/>
        </w:rPr>
        <w:t>ș</w:t>
      </w:r>
      <w:r>
        <w:rPr>
          <w:rFonts w:ascii="Tahoma" w:hAnsi="Tahoma" w:cs="Tahoma"/>
        </w:rPr>
        <w:t xml:space="preserve">i </w:t>
      </w:r>
      <w:r w:rsidR="005B02D6">
        <w:rPr>
          <w:rFonts w:ascii="Tahoma" w:hAnsi="Tahoma" w:cs="Tahoma"/>
        </w:rPr>
        <w:t>Perfecționarea</w:t>
      </w:r>
      <w:r>
        <w:rPr>
          <w:rFonts w:ascii="Tahoma" w:hAnsi="Tahoma" w:cs="Tahoma"/>
        </w:rPr>
        <w:t xml:space="preserve"> </w:t>
      </w:r>
      <w:r w:rsidR="005B02D6">
        <w:rPr>
          <w:rFonts w:ascii="Tahoma" w:hAnsi="Tahoma" w:cs="Tahoma"/>
        </w:rPr>
        <w:t>Avocaților</w:t>
      </w:r>
      <w:r>
        <w:rPr>
          <w:rFonts w:ascii="Tahoma" w:hAnsi="Tahoma" w:cs="Tahoma"/>
        </w:rPr>
        <w:t xml:space="preserve"> (INPPA), care a transmis următoarea </w:t>
      </w:r>
    </w:p>
    <w:p w:rsidR="00C74097" w:rsidRP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</w:p>
    <w:p w:rsidR="00C74097" w:rsidRPr="00C74097" w:rsidRDefault="00C74097" w:rsidP="00C74097">
      <w:pPr>
        <w:shd w:val="clear" w:color="auto" w:fill="D9D9D9"/>
        <w:spacing w:line="276" w:lineRule="auto"/>
        <w:jc w:val="center"/>
        <w:rPr>
          <w:rFonts w:ascii="Tahoma" w:hAnsi="Tahoma" w:cs="Tahoma"/>
          <w:b/>
        </w:rPr>
      </w:pPr>
      <w:r w:rsidRPr="00C74097">
        <w:rPr>
          <w:rFonts w:ascii="Tahoma" w:hAnsi="Tahoma" w:cs="Tahoma"/>
          <w:b/>
        </w:rPr>
        <w:t>O P I N I E :</w:t>
      </w:r>
    </w:p>
    <w:p w:rsidR="00C74097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  <w:b/>
        </w:rPr>
      </w:pPr>
      <w:r w:rsidRPr="00190F9F">
        <w:rPr>
          <w:rFonts w:ascii="Tahoma" w:hAnsi="Tahoma" w:cs="Tahoma"/>
          <w:b/>
        </w:rPr>
        <w:t>Analizarea problematicii</w:t>
      </w: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  <w:b/>
        </w:rPr>
        <w:tab/>
      </w:r>
      <w:r w:rsidRPr="00190F9F">
        <w:rPr>
          <w:rFonts w:ascii="Tahoma" w:hAnsi="Tahoma" w:cs="Tahoma"/>
        </w:rPr>
        <w:t>Memoriul pune în discu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ie exercitarea de către 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a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de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 juridică, legalizare hotărâri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ti, dare de dată certă înscrisurilor, medierea conflictelor.</w:t>
      </w:r>
    </w:p>
    <w:p w:rsidR="00C74097" w:rsidRPr="00190F9F" w:rsidRDefault="00C74097" w:rsidP="00C74097">
      <w:pPr>
        <w:shd w:val="clear" w:color="auto" w:fill="D9D9D9"/>
        <w:spacing w:line="276" w:lineRule="auto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ab/>
        <w:t>Într</w:t>
      </w:r>
      <w:r>
        <w:rPr>
          <w:rFonts w:ascii="Tahoma" w:hAnsi="Tahoma" w:cs="Tahoma"/>
        </w:rPr>
        <w:t>-</w:t>
      </w:r>
      <w:r w:rsidRPr="00190F9F">
        <w:rPr>
          <w:rFonts w:ascii="Tahoma" w:hAnsi="Tahoma" w:cs="Tahoma"/>
        </w:rPr>
        <w:t>adevăr, aceste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sunt specifice profesiei de avocat, dar nu numai, sens în care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ionăm:</w:t>
      </w:r>
    </w:p>
    <w:p w:rsidR="00C74097" w:rsidRPr="00190F9F" w:rsidRDefault="00C74097" w:rsidP="00C74097">
      <w:pPr>
        <w:pStyle w:val="Listparagraf"/>
        <w:numPr>
          <w:ilvl w:val="0"/>
          <w:numId w:val="1"/>
        </w:numPr>
        <w:shd w:val="clear" w:color="auto" w:fill="D9D9D9"/>
        <w:spacing w:after="160"/>
        <w:ind w:hanging="720"/>
        <w:jc w:val="both"/>
        <w:rPr>
          <w:rFonts w:ascii="Tahoma" w:hAnsi="Tahoma" w:cs="Tahoma"/>
          <w:sz w:val="24"/>
          <w:szCs w:val="24"/>
          <w:lang w:val="ro-RO"/>
        </w:rPr>
      </w:pPr>
      <w:r w:rsidRPr="00190F9F">
        <w:rPr>
          <w:rFonts w:ascii="Tahoma" w:hAnsi="Tahoma" w:cs="Tahoma"/>
          <w:b/>
          <w:sz w:val="24"/>
          <w:szCs w:val="24"/>
          <w:lang w:val="ro-RO"/>
        </w:rPr>
        <w:t>Consultan</w:t>
      </w:r>
      <w:r>
        <w:rPr>
          <w:rFonts w:ascii="Tahoma" w:hAnsi="Tahoma" w:cs="Tahoma"/>
          <w:b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b/>
          <w:sz w:val="24"/>
          <w:szCs w:val="24"/>
          <w:lang w:val="ro-RO"/>
        </w:rPr>
        <w:t>a juridică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 este una dintre activită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>ile permise avocatului, dacă avem în vedere dispozi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iile art. 3 alin. 1 lit. a) din Legea nr. 51/1995 care prevede : 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„(1) Activitatea avocatului se realizează prin: a) consulta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 xml:space="preserve">ii </w:t>
      </w:r>
      <w:r>
        <w:rPr>
          <w:rFonts w:ascii="Tahoma" w:hAnsi="Tahoma" w:cs="Tahoma"/>
          <w:i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 cereri cu caracter juridic;”</w:t>
      </w:r>
    </w:p>
    <w:p w:rsidR="00C74097" w:rsidRPr="00190F9F" w:rsidRDefault="00C74097" w:rsidP="00C74097">
      <w:pPr>
        <w:pStyle w:val="Listparagraf"/>
        <w:numPr>
          <w:ilvl w:val="0"/>
          <w:numId w:val="1"/>
        </w:numPr>
        <w:shd w:val="clear" w:color="auto" w:fill="D9D9D9"/>
        <w:spacing w:after="160"/>
        <w:ind w:hanging="720"/>
        <w:jc w:val="both"/>
        <w:rPr>
          <w:rFonts w:ascii="Tahoma" w:hAnsi="Tahoma" w:cs="Tahoma"/>
          <w:sz w:val="24"/>
          <w:szCs w:val="24"/>
          <w:lang w:val="ro-RO"/>
        </w:rPr>
      </w:pPr>
      <w:r w:rsidRPr="00190F9F">
        <w:rPr>
          <w:rFonts w:ascii="Tahoma" w:hAnsi="Tahoma" w:cs="Tahoma"/>
          <w:b/>
          <w:sz w:val="24"/>
          <w:szCs w:val="24"/>
          <w:lang w:val="ro-RO"/>
        </w:rPr>
        <w:t>Darea de dată certă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 </w:t>
      </w:r>
      <w:r w:rsidRPr="00190F9F">
        <w:rPr>
          <w:rFonts w:ascii="Tahoma" w:hAnsi="Tahoma" w:cs="Tahoma"/>
          <w:b/>
          <w:sz w:val="24"/>
          <w:szCs w:val="24"/>
          <w:lang w:val="ro-RO"/>
        </w:rPr>
        <w:t>înscrisurilor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 este permisă avocatului de art. 3 alin. 1 lit. c) din Legea nr. 51/1995 care men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>ionează că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„(1) Activitatea avocatului se realizează prin: c) redactarea de acte juridice, atestarea identită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ii păr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ilor, a con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 xml:space="preserve">inutului </w:t>
      </w:r>
      <w:r>
        <w:rPr>
          <w:rFonts w:ascii="Tahoma" w:hAnsi="Tahoma" w:cs="Tahoma"/>
          <w:i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 a datei actelor prezentate spre autentificare;”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, respectiv art. 278 alin. 1 pct. 1 NCPC : 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„din ziua în care au fost prezentate spre a se conferi dată certă de către notarul public, executorul judecătoresc sau alt func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ionar competent în aceasta privin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ă”</w:t>
      </w:r>
      <w:r w:rsidRPr="00190F9F">
        <w:rPr>
          <w:rFonts w:ascii="Tahoma" w:hAnsi="Tahoma" w:cs="Tahoma"/>
          <w:sz w:val="24"/>
          <w:szCs w:val="24"/>
          <w:lang w:val="ro-RO"/>
        </w:rPr>
        <w:t>.</w:t>
      </w:r>
    </w:p>
    <w:p w:rsidR="00C74097" w:rsidRPr="00190F9F" w:rsidRDefault="00C74097" w:rsidP="00C74097">
      <w:pPr>
        <w:pStyle w:val="Listparagraf"/>
        <w:numPr>
          <w:ilvl w:val="0"/>
          <w:numId w:val="1"/>
        </w:numPr>
        <w:shd w:val="clear" w:color="auto" w:fill="D9D9D9"/>
        <w:spacing w:after="160"/>
        <w:ind w:hanging="720"/>
        <w:jc w:val="both"/>
        <w:rPr>
          <w:rFonts w:ascii="Tahoma" w:hAnsi="Tahoma" w:cs="Tahoma"/>
          <w:sz w:val="24"/>
          <w:szCs w:val="24"/>
          <w:lang w:val="ro-RO"/>
        </w:rPr>
      </w:pPr>
      <w:r w:rsidRPr="00190F9F">
        <w:rPr>
          <w:rFonts w:ascii="Tahoma" w:hAnsi="Tahoma" w:cs="Tahoma"/>
          <w:sz w:val="24"/>
          <w:szCs w:val="24"/>
          <w:lang w:val="ro-RO"/>
        </w:rPr>
        <w:t>În privin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a </w:t>
      </w:r>
      <w:r w:rsidRPr="00190F9F">
        <w:rPr>
          <w:rFonts w:ascii="Tahoma" w:hAnsi="Tahoma" w:cs="Tahoma"/>
          <w:b/>
          <w:sz w:val="24"/>
          <w:szCs w:val="24"/>
          <w:lang w:val="ro-RO"/>
        </w:rPr>
        <w:t>medierii conflictelor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, art. 3 alin. 1 lit. e) din legea nr. 51/1995 stipulează că 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„(1) Activitatea avocatului se realizează prin: activită</w:t>
      </w:r>
      <w:r>
        <w:rPr>
          <w:rFonts w:ascii="Tahoma" w:hAnsi="Tahoma" w:cs="Tahoma"/>
          <w:i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i de mediere;”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. Tot cu privire la mediere, semnalăm </w:t>
      </w:r>
      <w:r>
        <w:rPr>
          <w:rFonts w:ascii="Tahoma" w:hAnsi="Tahoma" w:cs="Tahoma"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sz w:val="24"/>
          <w:szCs w:val="24"/>
          <w:lang w:val="ro-RO"/>
        </w:rPr>
        <w:t>i art. 1 alin. 1</w:t>
      </w:r>
      <w:r w:rsidRPr="00190F9F">
        <w:rPr>
          <w:rFonts w:ascii="Tahoma" w:hAnsi="Tahoma" w:cs="Tahoma"/>
          <w:sz w:val="24"/>
          <w:szCs w:val="24"/>
          <w:vertAlign w:val="superscript"/>
          <w:lang w:val="ro-RO"/>
        </w:rPr>
        <w:t>3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 din Legea nr. 192/2006 privind </w:t>
      </w:r>
      <w:r w:rsidRPr="00190F9F">
        <w:rPr>
          <w:rFonts w:ascii="Tahoma" w:hAnsi="Tahoma" w:cs="Tahoma"/>
          <w:sz w:val="24"/>
          <w:szCs w:val="24"/>
          <w:lang w:val="ro-RO"/>
        </w:rPr>
        <w:lastRenderedPageBreak/>
        <w:t xml:space="preserve">medierea care prevede că </w:t>
      </w:r>
      <w:r w:rsidRPr="00190F9F">
        <w:rPr>
          <w:rFonts w:ascii="Tahoma" w:hAnsi="Tahoma" w:cs="Tahoma"/>
          <w:i/>
          <w:sz w:val="24"/>
          <w:szCs w:val="24"/>
          <w:lang w:val="ro-RO"/>
        </w:rPr>
        <w:t>„efectuarea procedurii de informare asupra avantajelor medierii poate fi realizată de către judecător, procuror, consilier juridic, avocat, notar, caz în care aceasta se atestă în scris”</w:t>
      </w:r>
    </w:p>
    <w:p w:rsidR="00C74097" w:rsidRPr="00190F9F" w:rsidRDefault="00C74097" w:rsidP="00C74097">
      <w:pPr>
        <w:pStyle w:val="Listparagraf"/>
        <w:numPr>
          <w:ilvl w:val="0"/>
          <w:numId w:val="1"/>
        </w:numPr>
        <w:shd w:val="clear" w:color="auto" w:fill="D9D9D9"/>
        <w:spacing w:after="160"/>
        <w:ind w:hanging="720"/>
        <w:jc w:val="both"/>
        <w:rPr>
          <w:rFonts w:ascii="Tahoma" w:hAnsi="Tahoma" w:cs="Tahoma"/>
          <w:sz w:val="24"/>
          <w:szCs w:val="24"/>
          <w:lang w:val="ro-RO"/>
        </w:rPr>
      </w:pPr>
      <w:r w:rsidRPr="00190F9F">
        <w:rPr>
          <w:rFonts w:ascii="Tahoma" w:hAnsi="Tahoma" w:cs="Tahoma"/>
          <w:b/>
          <w:sz w:val="24"/>
          <w:szCs w:val="24"/>
          <w:lang w:val="ro-RO"/>
        </w:rPr>
        <w:t>Legalizarea hotărârilor judecătore</w:t>
      </w:r>
      <w:r>
        <w:rPr>
          <w:rFonts w:ascii="Tahoma" w:hAnsi="Tahoma" w:cs="Tahoma"/>
          <w:b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b/>
          <w:sz w:val="24"/>
          <w:szCs w:val="24"/>
          <w:lang w:val="ro-RO"/>
        </w:rPr>
        <w:t>ti</w:t>
      </w:r>
      <w:r w:rsidRPr="00190F9F">
        <w:rPr>
          <w:rFonts w:ascii="Tahoma" w:hAnsi="Tahoma" w:cs="Tahoma"/>
          <w:sz w:val="24"/>
          <w:szCs w:val="24"/>
          <w:lang w:val="ro-RO"/>
        </w:rPr>
        <w:t xml:space="preserve"> nu poate fi de competen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>a avocatului, legea neprevăzând în acest sens; totu</w:t>
      </w:r>
      <w:r>
        <w:rPr>
          <w:rFonts w:ascii="Tahoma" w:hAnsi="Tahoma" w:cs="Tahoma"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sz w:val="24"/>
          <w:szCs w:val="24"/>
          <w:lang w:val="ro-RO"/>
        </w:rPr>
        <w:t>i, în cazul avocatului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190F9F">
        <w:rPr>
          <w:rFonts w:ascii="Tahoma" w:hAnsi="Tahoma" w:cs="Tahoma"/>
          <w:sz w:val="24"/>
          <w:szCs w:val="24"/>
          <w:lang w:val="ro-RO"/>
        </w:rPr>
        <w:t>poate exista o certificare „conform cu originalul” al unei hotărâri judecătore</w:t>
      </w:r>
      <w:r>
        <w:rPr>
          <w:rFonts w:ascii="Tahoma" w:hAnsi="Tahoma" w:cs="Tahoma"/>
          <w:sz w:val="24"/>
          <w:szCs w:val="24"/>
          <w:lang w:val="ro-RO"/>
        </w:rPr>
        <w:t>ș</w:t>
      </w:r>
      <w:r w:rsidRPr="00190F9F">
        <w:rPr>
          <w:rFonts w:ascii="Tahoma" w:hAnsi="Tahoma" w:cs="Tahoma"/>
          <w:sz w:val="24"/>
          <w:szCs w:val="24"/>
          <w:lang w:val="ro-RO"/>
        </w:rPr>
        <w:t>ti când aceasta este folosită de parte ca înscris într-un litigiu judiciar (ipoteză care presupune existen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>a unui contract de asisten</w:t>
      </w:r>
      <w:r>
        <w:rPr>
          <w:rFonts w:ascii="Tahoma" w:hAnsi="Tahoma" w:cs="Tahoma"/>
          <w:sz w:val="24"/>
          <w:szCs w:val="24"/>
          <w:lang w:val="ro-RO"/>
        </w:rPr>
        <w:t>ț</w:t>
      </w:r>
      <w:r w:rsidRPr="00190F9F">
        <w:rPr>
          <w:rFonts w:ascii="Tahoma" w:hAnsi="Tahoma" w:cs="Tahoma"/>
          <w:sz w:val="24"/>
          <w:szCs w:val="24"/>
          <w:lang w:val="ro-RO"/>
        </w:rPr>
        <w:t>ă juridică cu clientul)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  <w:i/>
        </w:rPr>
      </w:pPr>
      <w:r w:rsidRPr="00190F9F">
        <w:rPr>
          <w:rFonts w:ascii="Tahoma" w:hAnsi="Tahoma" w:cs="Tahoma"/>
        </w:rPr>
        <w:t>În privin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executorilor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ti,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acestora este definită de lege, sens în care amintim art.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 xml:space="preserve">7 din Legea nr. 188/2000 : </w:t>
      </w:r>
      <w:r w:rsidRPr="00190F9F">
        <w:rPr>
          <w:rFonts w:ascii="Tahoma" w:hAnsi="Tahoma" w:cs="Tahoma"/>
          <w:i/>
        </w:rPr>
        <w:t>„Executorul judecătoresc are următoarele atribu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ii: a) punerea în executare a dispozi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iilor cu caracter civil din titlurile executorii; b) notificarea actelor judiciare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extrajudiciare; c) comunicarea actelor de procedură; d) recuperarea pe cale amiabilă a oricărei crean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e; e) aplicarea măsurilor asigurătorii dispuse de instan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a judecătorească; f) constatarea unor stări de fapt în condi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iile prevăzute de Codul de procedură civilă; g) întocmirea proceselor-verbale de constatare, în cazul ofertei reale urmate de consemnarea sumei de către debitor, potrivit dispozi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iilor Codului de procedură civilă; h) întocmirea, potrivit legii, a protestului de neplată a cambiilor, biletelor la ordin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a cecurilor, după caz;</w:t>
      </w:r>
      <w:r>
        <w:rPr>
          <w:rFonts w:ascii="Tahoma" w:hAnsi="Tahoma" w:cs="Tahoma"/>
          <w:i/>
        </w:rPr>
        <w:t xml:space="preserve"> </w:t>
      </w:r>
      <w:r w:rsidRPr="00190F9F">
        <w:rPr>
          <w:rFonts w:ascii="Tahoma" w:hAnsi="Tahoma" w:cs="Tahoma"/>
          <w:i/>
        </w:rPr>
        <w:t>i) orice alte acte sau opera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iuni date de lege în competen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a lui.”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 xml:space="preserve">Cu privire la </w:t>
      </w:r>
      <w:r w:rsidRPr="00190F9F">
        <w:rPr>
          <w:rFonts w:ascii="Tahoma" w:hAnsi="Tahoma" w:cs="Tahoma"/>
          <w:b/>
        </w:rPr>
        <w:t>activitatea de mediere a conflictelor</w:t>
      </w:r>
      <w:r w:rsidRPr="00190F9F">
        <w:rPr>
          <w:rFonts w:ascii="Tahoma" w:hAnsi="Tahoma" w:cs="Tahoma"/>
        </w:rPr>
        <w:t>, se poate observa că 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nu pot realiza, în concret, activitatea de mediere 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a cum este definită de Legea nr. 192/2006. De facto, nu excludem posibilitatea ca executorul judecătoresc să fie, în acela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timp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mediator, dacă îndepline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te condi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iile impuse de Legea nr. 192/2006, cu atât mai mult cu cât art. 42 lit. a) din Legea nr. 188/2000 prevede că </w:t>
      </w:r>
      <w:r w:rsidRPr="00190F9F">
        <w:rPr>
          <w:rFonts w:ascii="Tahoma" w:hAnsi="Tahoma" w:cs="Tahoma"/>
          <w:i/>
        </w:rPr>
        <w:t>„exercitarea func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iei de executor judecătoresc este incompatibilă cu: a) activitatea salarizată în cadrul altor profesii, exceptând activitatea didactică universitară, activitatea artistică, literară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publicistică;”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 xml:space="preserve">În cazul în care executorul ar dobândi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calitatea de mediator, acesta ar putea desfă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ura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de mediere în condi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iile Legii nr. 192/2006. Chiar dacă nu ar avea calitatea de mediator, în sens strict-tehnic, trebuie observată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a de la art. 7 lit. d) din Legea nr. 188/2000 : </w:t>
      </w:r>
      <w:r w:rsidRPr="00190F9F">
        <w:rPr>
          <w:rFonts w:ascii="Tahoma" w:hAnsi="Tahoma" w:cs="Tahoma"/>
          <w:i/>
        </w:rPr>
        <w:t>„recuperarea pe cale amiabilă a oricărei crean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e”</w:t>
      </w:r>
      <w:r w:rsidRPr="00190F9F">
        <w:rPr>
          <w:rFonts w:ascii="Tahoma" w:hAnsi="Tahoma" w:cs="Tahoma"/>
        </w:rPr>
        <w:t>. Se poate observa că textul legal nu se referă restrictiv la crean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constatate prin titlul executoriu, ci se folose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te de expresia „oricărei crean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e”. Opinăm că în punerea în practică a acestei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legale, executorul judecătoresc poate derula, la cazul concret,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specifice medierii – în sens larg, pentru a încerca această recuperarea pe cale amiabilă a oricărei crean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e, deci de a conduce păr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ile către o executare de bună voie, chiar dacă există sau nu există un tiltu executoriu cu privire la crean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 xml:space="preserve">Cu privire la </w:t>
      </w:r>
      <w:r w:rsidRPr="00190F9F">
        <w:rPr>
          <w:rFonts w:ascii="Tahoma" w:hAnsi="Tahoma" w:cs="Tahoma"/>
          <w:b/>
        </w:rPr>
        <w:t>activitatea de consultan</w:t>
      </w:r>
      <w:r>
        <w:rPr>
          <w:rFonts w:ascii="Tahoma" w:hAnsi="Tahoma" w:cs="Tahoma"/>
          <w:b/>
        </w:rPr>
        <w:t>ț</w:t>
      </w:r>
      <w:r w:rsidRPr="00190F9F">
        <w:rPr>
          <w:rFonts w:ascii="Tahoma" w:hAnsi="Tahoma" w:cs="Tahoma"/>
          <w:b/>
        </w:rPr>
        <w:t>ă juridică</w:t>
      </w:r>
      <w:r w:rsidRPr="00190F9F">
        <w:rPr>
          <w:rFonts w:ascii="Tahoma" w:hAnsi="Tahoma" w:cs="Tahoma"/>
        </w:rPr>
        <w:t xml:space="preserve"> trebuie avute în vedere dispozi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iile art. 7 din Legea nr. 188/2000 care dau executorului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în materia executării silite (art. 7 lit. a, b, c, e, i din Legea nr. 188/2000) sau în materia procedurii civile/procesului civil (art. 7 lit. b, c, e, f, g, h, i din Legea nr. 188/2000). Toate aceste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implică inerent o activitate juridică care ar permite, în opinia noastră, executorului judecătoresc ca, în aplicarea oricăreia dintre atribu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iile de la art. 7 din Legea nr. 188/2000, să ofere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 juridică (în sensul de a explica păr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ilor drepturile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obliga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iile care le au, condi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iile de fond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formă ale actelor ce urmează a fi îndeplinite, efectele acestora, costuri, sanc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iuni, etc.). Această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ă juridică, aplicată strict pe activitatea executorului </w:t>
      </w:r>
      <w:r w:rsidRPr="00190F9F">
        <w:rPr>
          <w:rFonts w:ascii="Tahoma" w:hAnsi="Tahoma" w:cs="Tahoma"/>
        </w:rPr>
        <w:lastRenderedPageBreak/>
        <w:t xml:space="preserve">judecătoresc este firească din moment ce partea care solicită un asemenea serviciu nu este obligată să cunoască normele legale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nici nu este obligată, din punct de vedere legal,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să fie asistată sau reprezentă de către avocat.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executorului judecătoresc de a da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ă juridică este confirmată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de Ordinul nr. 2.550/C din 14 noiembrie 2006 privind aprobarea onorariilor minimale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maximale pentru serviciile prestate de 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emis de Ministerul Justi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iei care la punctul 14 prevede că se poate percepe un onorariu de la 20 de lei – la 200 de lei pentru </w:t>
      </w:r>
      <w:r w:rsidRPr="00190F9F">
        <w:rPr>
          <w:rFonts w:ascii="Tahoma" w:hAnsi="Tahoma" w:cs="Tahoma"/>
          <w:i/>
        </w:rPr>
        <w:t>„consulta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 în legătură cu constituirea actelor execu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ionale”</w:t>
      </w:r>
      <w:r w:rsidRPr="00190F9F">
        <w:rPr>
          <w:rFonts w:ascii="Tahoma" w:hAnsi="Tahoma" w:cs="Tahoma"/>
        </w:rPr>
        <w:t>. Se poate observa că textul nu folose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te expresia „actelor de executare silită”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expresia „actelor execu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ionale” care ar putea fi interpretată cu privire la toate actele permise de art. 7 din Legea nr. 188/2000.</w:t>
      </w:r>
      <w:r>
        <w:rPr>
          <w:rFonts w:ascii="Tahoma" w:hAnsi="Tahoma" w:cs="Tahoma"/>
        </w:rPr>
        <w:t xml:space="preserve"> 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Desigur, orice activitate de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ă juridică care ar excede unei însărcinări a executorului judecătoresc în limitele art. 7 din Legea nr. 188/2000 nu ar fi legală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ar intra într-o suprapunere de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cu avocatul (de exemplu, executorul judecătoresc nu va putea da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 juridică cu privire la pornirea unui proces, efectuarea de acte de procedură judiciare, altele decât cele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ionate în art. 7 din Legea nr. 188/2000, cu privire la o problemă de drept sau litigioasă, cu privire la întocmirea unui contract, cu privire la o opinie legală, etc.). În acela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timp, faptul că executorul judecătoresc poate da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 juridică atunci când se află într-unul din cazurile de la art. 7 din Legea nr. 188/2000, nu interzice nu nimic posibilitatea clientului de a avea un avocat care să-l consilieze, să-l asiste sau să-l reprezinte.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 xml:space="preserve">Cu privire la </w:t>
      </w:r>
      <w:r w:rsidRPr="00190F9F">
        <w:rPr>
          <w:rFonts w:ascii="Tahoma" w:hAnsi="Tahoma" w:cs="Tahoma"/>
          <w:b/>
        </w:rPr>
        <w:t>darea de dată certă</w:t>
      </w:r>
      <w:r>
        <w:rPr>
          <w:rFonts w:ascii="Tahoma" w:hAnsi="Tahoma" w:cs="Tahoma"/>
          <w:b/>
        </w:rPr>
        <w:t xml:space="preserve"> </w:t>
      </w:r>
      <w:r w:rsidRPr="00190F9F">
        <w:rPr>
          <w:rFonts w:ascii="Tahoma" w:hAnsi="Tahoma" w:cs="Tahoma"/>
          <w:b/>
        </w:rPr>
        <w:t>înscrisurilor</w:t>
      </w:r>
      <w:r w:rsidRPr="00190F9F">
        <w:rPr>
          <w:rFonts w:ascii="Tahoma" w:hAnsi="Tahoma" w:cs="Tahoma"/>
        </w:rPr>
        <w:t>, trebuie avute în vedere, în primul rând dispozi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iile art. 278 alin. 1 pct. 1 NCPC care prevede că </w:t>
      </w:r>
      <w:r w:rsidRPr="00190F9F">
        <w:rPr>
          <w:rFonts w:ascii="Tahoma" w:hAnsi="Tahoma" w:cs="Tahoma"/>
          <w:i/>
        </w:rPr>
        <w:t>„data înscrisurilor sub semnătură privată este opozabilă altor persoane decât celor care le-au întocmit, numai din ziua în care a devenit certă, prin una din modalită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ile prevăzute de lege, respectiv: 1. Din ziua în care au fost prezentate spre a conferi dată certă de către notarul public, executor judecătoresc sau alt func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ionar competent în această privin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ă”.</w:t>
      </w:r>
      <w:r w:rsidRPr="00190F9F">
        <w:rPr>
          <w:rFonts w:ascii="Tahoma" w:hAnsi="Tahoma" w:cs="Tahoma"/>
        </w:rPr>
        <w:t xml:space="preserve"> Această dispozi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ie legală coroborată cu art. 7 lit. i din Legea nr. 188/2000 permite, în mod expres,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executorului judecătoresc să dea dată certă înscrisurilor.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În privin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a </w:t>
      </w:r>
      <w:r w:rsidRPr="00190F9F">
        <w:rPr>
          <w:rFonts w:ascii="Tahoma" w:hAnsi="Tahoma" w:cs="Tahoma"/>
          <w:b/>
        </w:rPr>
        <w:t>legalizării hotărârilor judecătore</w:t>
      </w:r>
      <w:r>
        <w:rPr>
          <w:rFonts w:ascii="Tahoma" w:hAnsi="Tahoma" w:cs="Tahoma"/>
          <w:b/>
        </w:rPr>
        <w:t>ș</w:t>
      </w:r>
      <w:r w:rsidRPr="00190F9F">
        <w:rPr>
          <w:rFonts w:ascii="Tahoma" w:hAnsi="Tahoma" w:cs="Tahoma"/>
          <w:b/>
        </w:rPr>
        <w:t>ti</w:t>
      </w:r>
      <w:r w:rsidRPr="00190F9F">
        <w:rPr>
          <w:rFonts w:ascii="Tahoma" w:hAnsi="Tahoma" w:cs="Tahoma"/>
        </w:rPr>
        <w:t>, trebuie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ionat faptul că legalizarea înscrisurilor (deci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a hotărârilor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ti) nu este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ionată ca fiind una dintre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ele executorului judecătoresc în art. 7 din Legea nr. 188/2000, chiar dacă art. 2 din aceea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lege prevede că </w:t>
      </w:r>
      <w:r w:rsidRPr="00190F9F">
        <w:rPr>
          <w:rFonts w:ascii="Tahoma" w:hAnsi="Tahoma" w:cs="Tahoma"/>
          <w:i/>
        </w:rPr>
        <w:t>„executorii judecătore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ti sunt învesti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 să îndeplinească un serviciu de interes public. Actul îndeplinit de executorul judecătoresc, în limitele competen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elor legale, purtând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 xml:space="preserve">tampila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 xml:space="preserve">i semnătura acestuia, precum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 xml:space="preserve">i numărul de înregistrare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 xml:space="preserve">i data, este act de autoritate publică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are for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a probantă prevăzută de lege”</w:t>
      </w:r>
      <w:r w:rsidRPr="00190F9F">
        <w:rPr>
          <w:rFonts w:ascii="Tahoma" w:hAnsi="Tahoma" w:cs="Tahoma"/>
        </w:rPr>
        <w:t>. Din interpretarea celor două texte legale opinăm că executorul judecătoresc nu poate avea această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ă de legalizare a unor copii de pe înscrisuri. 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Legalizarea copiilor de pe înscrisuri revine notarului public 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a cum rezultă din art. 12 lit. i din Legea 36/1995, iar art. 150 alin. 1 din aceea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lege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ionează că </w:t>
      </w:r>
      <w:r w:rsidRPr="00190F9F">
        <w:rPr>
          <w:rFonts w:ascii="Tahoma" w:hAnsi="Tahoma" w:cs="Tahoma"/>
          <w:i/>
        </w:rPr>
        <w:t>„notarul public eliberează copii legalizate numai de pe înscrisurile originale prezentate de păr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i, astfel cum au fost emise în starea lor ini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ială, după confruntarea copiei cu originalul”.</w:t>
      </w:r>
      <w:r w:rsidRPr="00190F9F">
        <w:rPr>
          <w:rFonts w:ascii="Tahoma" w:hAnsi="Tahoma" w:cs="Tahoma"/>
        </w:rPr>
        <w:t xml:space="preserve"> De altfel, nici notarul public nu poate legaliza hotărâri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deoarece cele două originale ale acestora se află la instan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care a pronun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at hotărârea (unul la dosarul cauzei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unul la mapa de hotărâri a instan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ei). În acest context, cu atât mai mult eliberarea unei copii legalizate de către executorul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 xml:space="preserve">judecătoresc de pe o hotărâre judecătorească este </w:t>
      </w:r>
      <w:r w:rsidRPr="00190F9F">
        <w:rPr>
          <w:rFonts w:ascii="Tahoma" w:hAnsi="Tahoma" w:cs="Tahoma"/>
        </w:rPr>
        <w:lastRenderedPageBreak/>
        <w:t>neconformă cu legea (eliberarea copiilor legalizate se poate face exclusiv de instan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a judecătorească).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În finalul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memoriului petenta solicită U.N.B.R. să se pronun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 dacă în cazurile anexate la peti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ie 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au încălcat Legea nr. 51/1995, care este semnifica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ia dată de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pct. 14 din Ordinul nr. 2550/2006 referitor la consultan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ă juridică dată în cazul actelor execu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ionale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care ar fi modalitatea de înlăturarea a acestor practici.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Cu privire la posibila încălcare a Legii nr. 51/1995 de către executorii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ti, prin raportare la link-urile anexate, nu se poate concluziona în vreun fel sau altul deoarece depă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irea atribu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iilor legale specifice executorilor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ti trebuie cercetate la cazul concret, printr-o analiză detaliată a serviciului prestat, cu circumstan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ierile pe care le-am precizat în prezentul punct de vedere.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Semnifica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ia juridică a textului de la pct. 14 din Ordinul 2550/2006 poate viza două aspecte : (1) legiuitorul acceptă posibilitatea unei consulta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ii juridice din partea executorului judecătoresc în activitatea sa proprie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în conformitate cu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ele sale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(2) prin acte execu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ionale ar trebui în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eles nu numai actele de executare silită, ci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celelalte acte întocmite în conformitate cu art. 7 din Legea nr. 188/2000.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  <w:i/>
        </w:rPr>
      </w:pPr>
      <w:r w:rsidRPr="00190F9F">
        <w:rPr>
          <w:rFonts w:ascii="Tahoma" w:hAnsi="Tahoma" w:cs="Tahoma"/>
        </w:rPr>
        <w:tab/>
        <w:t>În fine, înlăturarea unor posibile practici nelegale în materie este posibilă, existând instrumente legale în acest sens. Astfel, prestarea de servicii juridice (de exemplu, consulta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juridice în afara actelor execu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ionale), altele decât cele permise de art. 7 din Legea nr. 188/2000 constituie în primul rând, o abatere disciplinară a executorului judecătoresc care poate atrage o răspundere disciplinară sau civilă. În sens men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ionăm art. 47 lit. b din Legea nr. 51/1995 care prevede că </w:t>
      </w:r>
      <w:r w:rsidRPr="00190F9F">
        <w:rPr>
          <w:rFonts w:ascii="Tahoma" w:hAnsi="Tahoma" w:cs="Tahoma"/>
          <w:i/>
        </w:rPr>
        <w:t>”răspunderea disciplinară a executorului judecătoresc intervine pentru următoarele abateri: b) încălcarea … interdic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iilor prevăzute de lege”</w:t>
      </w:r>
      <w:r w:rsidRPr="00190F9F">
        <w:rPr>
          <w:rFonts w:ascii="Tahoma" w:hAnsi="Tahoma" w:cs="Tahoma"/>
        </w:rPr>
        <w:t xml:space="preserve"> (prin interdic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în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elegându-se prestarea de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 cu depă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irea art. 7 din Legea nr. 188/2000), având în vedere faptul că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</w:rPr>
        <w:t>ac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iunea disciplinară se exercită de ministrul justi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iei sau de Colegiul director al Camerei executorilor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ti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i se judecă de Consiliul de disciplină al acesteia. În materie de răspundere civilă urmează a se aplica art. 45 alin. 1 din Legea nr. 188/2000 care face trimitere la dreptul comun : </w:t>
      </w:r>
      <w:r w:rsidRPr="00190F9F">
        <w:rPr>
          <w:rFonts w:ascii="Tahoma" w:hAnsi="Tahoma" w:cs="Tahoma"/>
          <w:i/>
        </w:rPr>
        <w:t>”</w:t>
      </w:r>
      <w:r w:rsidRPr="00190F9F">
        <w:rPr>
          <w:i/>
        </w:rPr>
        <w:t xml:space="preserve"> </w:t>
      </w:r>
      <w:r w:rsidRPr="00190F9F">
        <w:rPr>
          <w:rFonts w:ascii="Tahoma" w:hAnsi="Tahoma" w:cs="Tahoma"/>
          <w:i/>
        </w:rPr>
        <w:t>răspunderea civilă a executorului judecătoresc poate fi angajată, în condi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iile legii civile, pentru cauzarea de prejudicii prin încălcarea obliga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iilor sale profesionale”.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În acelea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timp, aceste posibile depă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iri ale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 xml:space="preserve">ei executorului judecătoresc pot constitui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încălcări ale Legii nr. 51/1995, sanc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iunea prevăzută fiind de natură penală: art. 26 alin. 1 prevede că</w:t>
      </w:r>
      <w:r>
        <w:rPr>
          <w:rFonts w:ascii="Tahoma" w:hAnsi="Tahoma" w:cs="Tahoma"/>
        </w:rPr>
        <w:t xml:space="preserve"> </w:t>
      </w:r>
      <w:r w:rsidRPr="00190F9F">
        <w:rPr>
          <w:rFonts w:ascii="Tahoma" w:hAnsi="Tahoma" w:cs="Tahoma"/>
          <w:i/>
        </w:rPr>
        <w:t>”exercitarea oricărei activită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 de asisten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ă juridică specifică profesiei de avocat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 xml:space="preserve">i prevăzută la art. 3 de către o persoană fizică sau juridică ce nu are calitatea de avocat înscris într-un barou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pe tabloul avoca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>ilor acelui barou constituie infrac</w:t>
      </w:r>
      <w:r>
        <w:rPr>
          <w:rFonts w:ascii="Tahoma" w:hAnsi="Tahoma" w:cs="Tahoma"/>
          <w:i/>
        </w:rPr>
        <w:t>ț</w:t>
      </w:r>
      <w:r w:rsidRPr="00190F9F">
        <w:rPr>
          <w:rFonts w:ascii="Tahoma" w:hAnsi="Tahoma" w:cs="Tahoma"/>
          <w:i/>
        </w:rPr>
        <w:t xml:space="preserve">iune 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i se pedepse</w:t>
      </w:r>
      <w:r>
        <w:rPr>
          <w:rFonts w:ascii="Tahoma" w:hAnsi="Tahoma" w:cs="Tahoma"/>
          <w:i/>
        </w:rPr>
        <w:t>ș</w:t>
      </w:r>
      <w:r w:rsidRPr="00190F9F">
        <w:rPr>
          <w:rFonts w:ascii="Tahoma" w:hAnsi="Tahoma" w:cs="Tahoma"/>
          <w:i/>
        </w:rPr>
        <w:t>te potrivit legii penale”.</w:t>
      </w:r>
    </w:p>
    <w:p w:rsidR="00C74097" w:rsidRPr="00190F9F" w:rsidRDefault="00C74097" w:rsidP="00C74097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  <w:r w:rsidRPr="00190F9F">
        <w:rPr>
          <w:rFonts w:ascii="Tahoma" w:hAnsi="Tahoma" w:cs="Tahoma"/>
        </w:rPr>
        <w:t>În lumina acestor dispozi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legale aceste posibile fapte de depă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ire a competen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ei executorilor judecătore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 xml:space="preserve">ti 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 intrarea în sfera de activitate a avocatului pot fi amendate prin sesizarea organelor disciplinare specifice profesiei de executor judecătoresc, prin declan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area unor procese civile pentru acoperirea prejudiciilor cauzate sau pot fi sesizate organele de urmărire penală pentru eventuala săvâr</w:t>
      </w:r>
      <w:r>
        <w:rPr>
          <w:rFonts w:ascii="Tahoma" w:hAnsi="Tahoma" w:cs="Tahoma"/>
        </w:rPr>
        <w:t>ș</w:t>
      </w:r>
      <w:r w:rsidRPr="00190F9F">
        <w:rPr>
          <w:rFonts w:ascii="Tahoma" w:hAnsi="Tahoma" w:cs="Tahoma"/>
        </w:rPr>
        <w:t>ire a infrac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iunii prevăzute de legisla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ia specifică activită</w:t>
      </w:r>
      <w:r>
        <w:rPr>
          <w:rFonts w:ascii="Tahoma" w:hAnsi="Tahoma" w:cs="Tahoma"/>
        </w:rPr>
        <w:t>ț</w:t>
      </w:r>
      <w:r w:rsidRPr="00190F9F">
        <w:rPr>
          <w:rFonts w:ascii="Tahoma" w:hAnsi="Tahoma" w:cs="Tahoma"/>
        </w:rPr>
        <w:t>ii de avocat.</w:t>
      </w:r>
    </w:p>
    <w:p w:rsidR="0018436D" w:rsidRDefault="0018436D"/>
    <w:sectPr w:rsidR="0018436D" w:rsidSect="00C74097">
      <w:pgSz w:w="11906" w:h="16838"/>
      <w:pgMar w:top="540" w:right="99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53FB">
      <w:r>
        <w:separator/>
      </w:r>
    </w:p>
  </w:endnote>
  <w:endnote w:type="continuationSeparator" w:id="0">
    <w:p w:rsidR="00000000" w:rsidRDefault="00C6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53FB">
      <w:r>
        <w:separator/>
      </w:r>
    </w:p>
  </w:footnote>
  <w:footnote w:type="continuationSeparator" w:id="0">
    <w:p w:rsidR="00000000" w:rsidRDefault="00C6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82375"/>
    <w:multiLevelType w:val="hybridMultilevel"/>
    <w:tmpl w:val="9DB227AE"/>
    <w:lvl w:ilvl="0" w:tplc="5802D3D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097"/>
    <w:rsid w:val="00034D4F"/>
    <w:rsid w:val="000356F4"/>
    <w:rsid w:val="0010136C"/>
    <w:rsid w:val="00134698"/>
    <w:rsid w:val="0018436D"/>
    <w:rsid w:val="00276864"/>
    <w:rsid w:val="002B4B20"/>
    <w:rsid w:val="00355A57"/>
    <w:rsid w:val="00380DE6"/>
    <w:rsid w:val="00423D97"/>
    <w:rsid w:val="00426097"/>
    <w:rsid w:val="004377BF"/>
    <w:rsid w:val="00472AD2"/>
    <w:rsid w:val="004757AC"/>
    <w:rsid w:val="00483744"/>
    <w:rsid w:val="004C6C56"/>
    <w:rsid w:val="00576262"/>
    <w:rsid w:val="0057661A"/>
    <w:rsid w:val="005B02D6"/>
    <w:rsid w:val="006019B9"/>
    <w:rsid w:val="00615112"/>
    <w:rsid w:val="0067768D"/>
    <w:rsid w:val="006F6D8D"/>
    <w:rsid w:val="007938F3"/>
    <w:rsid w:val="00855187"/>
    <w:rsid w:val="008C19DE"/>
    <w:rsid w:val="00914A2D"/>
    <w:rsid w:val="009C0ED9"/>
    <w:rsid w:val="00A15229"/>
    <w:rsid w:val="00A51BF3"/>
    <w:rsid w:val="00AE08F3"/>
    <w:rsid w:val="00B04073"/>
    <w:rsid w:val="00B65515"/>
    <w:rsid w:val="00B74973"/>
    <w:rsid w:val="00B831D7"/>
    <w:rsid w:val="00B93476"/>
    <w:rsid w:val="00C653FB"/>
    <w:rsid w:val="00C70B60"/>
    <w:rsid w:val="00C74097"/>
    <w:rsid w:val="00CA16F2"/>
    <w:rsid w:val="00CF46AA"/>
    <w:rsid w:val="00D15F6A"/>
    <w:rsid w:val="00E41F31"/>
    <w:rsid w:val="00EB4F30"/>
    <w:rsid w:val="00ED5E82"/>
    <w:rsid w:val="00F749C6"/>
    <w:rsid w:val="00F96DA2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996D3"/>
  <w15:chartTrackingRefBased/>
  <w15:docId w15:val="{FAB0AC48-D1C6-46A9-918D-33A6DCD7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4097"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paragraf">
    <w:name w:val="Listă paragraf"/>
    <w:basedOn w:val="Normal"/>
    <w:qFormat/>
    <w:rsid w:val="00C7409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2080</Words>
  <Characters>12068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PUNCT DE VEDERE </vt:lpstr>
      <vt:lpstr>PUNCT DE VEDERE </vt:lpstr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 DE VEDERE </dc:title>
  <dc:subject/>
  <dc:creator>gflorea</dc:creator>
  <cp:keywords/>
  <dc:description/>
  <cp:lastModifiedBy>Sandu Gherasim</cp:lastModifiedBy>
  <cp:revision>2</cp:revision>
  <dcterms:created xsi:type="dcterms:W3CDTF">2018-02-07T17:47:00Z</dcterms:created>
  <dcterms:modified xsi:type="dcterms:W3CDTF">2018-02-07T17:47:00Z</dcterms:modified>
</cp:coreProperties>
</file>