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POSIBILITATEA SECRETARULUI UNITĂŢII ADMINISTRATIV-TERITORIALE LOCALE DE A </w:t>
      </w:r>
      <w:r w:rsidR="00A446C3">
        <w:rPr>
          <w:rFonts w:ascii="Tahoma" w:hAnsi="Tahoma" w:cs="Tahoma"/>
          <w:b/>
          <w:sz w:val="24"/>
          <w:szCs w:val="24"/>
        </w:rPr>
        <w:t>RE</w:t>
      </w:r>
      <w:r>
        <w:rPr>
          <w:rFonts w:ascii="Tahoma" w:hAnsi="Tahoma" w:cs="Tahoma"/>
          <w:b/>
          <w:sz w:val="24"/>
          <w:szCs w:val="24"/>
        </w:rPr>
        <w:t>PREZENTA UNITATEA ÎN JUSTIŢIE</w:t>
      </w:r>
      <w:bookmarkStart w:id="0" w:name="_GoBack"/>
      <w:bookmarkEnd w:id="0"/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Aspecte prealabile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Urmează a se</w:t>
      </w:r>
      <w:r>
        <w:rPr>
          <w:rFonts w:ascii="Tahoma" w:hAnsi="Tahoma" w:cs="Tahoma"/>
          <w:sz w:val="24"/>
          <w:szCs w:val="24"/>
        </w:rPr>
        <w:t xml:space="preserve"> analiz</w:t>
      </w:r>
      <w:r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următoarea problemă: secretarul unei </w:t>
      </w:r>
      <w:proofErr w:type="spellStart"/>
      <w:r>
        <w:rPr>
          <w:rFonts w:ascii="Tahoma" w:hAnsi="Tahoma" w:cs="Tahoma"/>
          <w:sz w:val="24"/>
          <w:szCs w:val="24"/>
        </w:rPr>
        <w:t>unităţi</w:t>
      </w:r>
      <w:proofErr w:type="spellEnd"/>
      <w:r>
        <w:rPr>
          <w:rFonts w:ascii="Tahoma" w:hAnsi="Tahoma" w:cs="Tahoma"/>
          <w:sz w:val="24"/>
          <w:szCs w:val="24"/>
        </w:rPr>
        <w:t xml:space="preserve"> administrativ teritoriale poate reprezenta această persoană juridică de drept public (UAT) în </w:t>
      </w:r>
      <w:proofErr w:type="spellStart"/>
      <w:r>
        <w:rPr>
          <w:rFonts w:ascii="Tahoma" w:hAnsi="Tahoma" w:cs="Tahoma"/>
          <w:sz w:val="24"/>
          <w:szCs w:val="24"/>
        </w:rPr>
        <w:t>justiţie</w:t>
      </w:r>
      <w:proofErr w:type="spellEnd"/>
      <w:r>
        <w:rPr>
          <w:rFonts w:ascii="Tahoma" w:hAnsi="Tahoma" w:cs="Tahoma"/>
          <w:sz w:val="24"/>
          <w:szCs w:val="24"/>
        </w:rPr>
        <w:t>, similar reprezentării asigurate de avocat sau consilier juridic?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vând în vedere că există </w:t>
      </w:r>
      <w:proofErr w:type="spellStart"/>
      <w:r>
        <w:rPr>
          <w:rFonts w:ascii="Tahoma" w:hAnsi="Tahoma" w:cs="Tahoma"/>
          <w:sz w:val="24"/>
          <w:szCs w:val="24"/>
        </w:rPr>
        <w:t>soluţii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jurisprudenţiale</w:t>
      </w:r>
      <w:proofErr w:type="spellEnd"/>
      <w:r>
        <w:rPr>
          <w:rFonts w:ascii="Tahoma" w:hAnsi="Tahoma" w:cs="Tahoma"/>
          <w:sz w:val="24"/>
          <w:szCs w:val="24"/>
        </w:rPr>
        <w:t xml:space="preserve"> prin care s-a recunoscut această posibilitate de reprezentare în </w:t>
      </w:r>
      <w:proofErr w:type="spellStart"/>
      <w:r>
        <w:rPr>
          <w:rFonts w:ascii="Tahoma" w:hAnsi="Tahoma" w:cs="Tahoma"/>
          <w:sz w:val="24"/>
          <w:szCs w:val="24"/>
        </w:rPr>
        <w:t>justiţie</w:t>
      </w:r>
      <w:proofErr w:type="spellEnd"/>
      <w:r>
        <w:rPr>
          <w:rFonts w:ascii="Tahoma" w:hAnsi="Tahoma" w:cs="Tahoma"/>
          <w:sz w:val="24"/>
          <w:szCs w:val="24"/>
        </w:rPr>
        <w:t xml:space="preserve"> în favoarea secretarului UAT</w:t>
      </w:r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aceste cazuri de exercitare fără drept a profesiei de avocat în cazul secretarilor de UAT</w:t>
      </w:r>
      <w:r>
        <w:rPr>
          <w:rFonts w:ascii="Tahoma" w:hAnsi="Tahoma" w:cs="Tahoma"/>
          <w:sz w:val="24"/>
          <w:szCs w:val="24"/>
        </w:rPr>
        <w:t>, pot face obiectul sesizărilor adresate de barouri autorităților competente ?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Analizarea problematicii invocate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Style w:val="tpa1"/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În conformitate cu art. 77 alin. 1 din Legea nr. 215/2001 privind </w:t>
      </w:r>
      <w:proofErr w:type="spellStart"/>
      <w:r>
        <w:rPr>
          <w:rFonts w:ascii="Tahoma" w:hAnsi="Tahoma" w:cs="Tahoma"/>
          <w:sz w:val="24"/>
          <w:szCs w:val="24"/>
        </w:rPr>
        <w:t>administraţia</w:t>
      </w:r>
      <w:proofErr w:type="spellEnd"/>
      <w:r>
        <w:rPr>
          <w:rFonts w:ascii="Tahoma" w:hAnsi="Tahoma" w:cs="Tahoma"/>
          <w:sz w:val="24"/>
          <w:szCs w:val="24"/>
        </w:rPr>
        <w:t xml:space="preserve"> publică locală </w:t>
      </w:r>
      <w:bookmarkStart w:id="1" w:name="do|caIV|ar77|pa1"/>
      <w:bookmarkEnd w:id="1"/>
      <w:r w:rsidRPr="001D25E4">
        <w:rPr>
          <w:rStyle w:val="tpa1"/>
          <w:rFonts w:ascii="Tahoma" w:hAnsi="Tahoma" w:cs="Tahoma"/>
          <w:sz w:val="24"/>
          <w:szCs w:val="24"/>
        </w:rPr>
        <w:t xml:space="preserve">primarul, viceprimarul, </w:t>
      </w:r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secretarul </w:t>
      </w:r>
      <w:proofErr w:type="spellStart"/>
      <w:r w:rsidRPr="00255901">
        <w:rPr>
          <w:rStyle w:val="tpa1"/>
          <w:rFonts w:ascii="Tahoma" w:hAnsi="Tahoma" w:cs="Tahoma"/>
          <w:i/>
          <w:sz w:val="24"/>
          <w:szCs w:val="24"/>
        </w:rPr>
        <w:t>unităţii</w:t>
      </w:r>
      <w:proofErr w:type="spellEnd"/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 administrativ-teritoriale </w:t>
      </w:r>
      <w:proofErr w:type="spellStart"/>
      <w:r w:rsidRPr="00255901">
        <w:rPr>
          <w:rStyle w:val="tpa1"/>
          <w:rFonts w:ascii="Tahoma" w:hAnsi="Tahoma" w:cs="Tahoma"/>
          <w:i/>
          <w:sz w:val="24"/>
          <w:szCs w:val="24"/>
        </w:rPr>
        <w:t>şi</w:t>
      </w:r>
      <w:proofErr w:type="spellEnd"/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 aparatul de specialitate al primarului constituie o structură </w:t>
      </w:r>
      <w:proofErr w:type="spellStart"/>
      <w:r w:rsidRPr="00255901">
        <w:rPr>
          <w:rStyle w:val="tpa1"/>
          <w:rFonts w:ascii="Tahoma" w:hAnsi="Tahoma" w:cs="Tahoma"/>
          <w:i/>
          <w:sz w:val="24"/>
          <w:szCs w:val="24"/>
        </w:rPr>
        <w:t>funcţională</w:t>
      </w:r>
      <w:proofErr w:type="spellEnd"/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 cu activitate permanentă</w:t>
      </w:r>
      <w:r w:rsidRPr="001D25E4">
        <w:rPr>
          <w:rStyle w:val="tpa1"/>
          <w:rFonts w:ascii="Tahoma" w:hAnsi="Tahoma" w:cs="Tahoma"/>
          <w:sz w:val="24"/>
          <w:szCs w:val="24"/>
        </w:rPr>
        <w:t xml:space="preserve">, denumită primăria comunei, </w:t>
      </w:r>
      <w:proofErr w:type="spellStart"/>
      <w:r w:rsidRPr="001D25E4">
        <w:rPr>
          <w:rStyle w:val="tpa1"/>
          <w:rFonts w:ascii="Tahoma" w:hAnsi="Tahoma" w:cs="Tahoma"/>
          <w:sz w:val="24"/>
          <w:szCs w:val="24"/>
        </w:rPr>
        <w:t>oraşului</w:t>
      </w:r>
      <w:proofErr w:type="spellEnd"/>
      <w:r w:rsidRPr="001D25E4">
        <w:rPr>
          <w:rStyle w:val="tpa1"/>
          <w:rFonts w:ascii="Tahoma" w:hAnsi="Tahoma" w:cs="Tahoma"/>
          <w:sz w:val="24"/>
          <w:szCs w:val="24"/>
        </w:rPr>
        <w:t xml:space="preserve"> sau municipiului, </w:t>
      </w:r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care duce la îndeplinire hotărârile consiliului local </w:t>
      </w:r>
      <w:proofErr w:type="spellStart"/>
      <w:r w:rsidRPr="00255901">
        <w:rPr>
          <w:rStyle w:val="tpa1"/>
          <w:rFonts w:ascii="Tahoma" w:hAnsi="Tahoma" w:cs="Tahoma"/>
          <w:i/>
          <w:sz w:val="24"/>
          <w:szCs w:val="24"/>
        </w:rPr>
        <w:t>şi</w:t>
      </w:r>
      <w:proofErr w:type="spellEnd"/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55901">
        <w:rPr>
          <w:rStyle w:val="tpa1"/>
          <w:rFonts w:ascii="Tahoma" w:hAnsi="Tahoma" w:cs="Tahoma"/>
          <w:i/>
          <w:sz w:val="24"/>
          <w:szCs w:val="24"/>
        </w:rPr>
        <w:t>dispoziţiile</w:t>
      </w:r>
      <w:proofErr w:type="spellEnd"/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 primarului</w:t>
      </w:r>
      <w:r w:rsidRPr="001D25E4">
        <w:rPr>
          <w:rStyle w:val="tpa1"/>
          <w:rFonts w:ascii="Tahoma" w:hAnsi="Tahoma" w:cs="Tahoma"/>
          <w:sz w:val="24"/>
          <w:szCs w:val="24"/>
        </w:rPr>
        <w:t xml:space="preserve">, </w:t>
      </w:r>
      <w:proofErr w:type="spellStart"/>
      <w:r w:rsidRPr="001D25E4">
        <w:rPr>
          <w:rStyle w:val="tpa1"/>
          <w:rFonts w:ascii="Tahoma" w:hAnsi="Tahoma" w:cs="Tahoma"/>
          <w:sz w:val="24"/>
          <w:szCs w:val="24"/>
        </w:rPr>
        <w:t>soluţionând</w:t>
      </w:r>
      <w:proofErr w:type="spellEnd"/>
      <w:r w:rsidRPr="001D25E4">
        <w:rPr>
          <w:rStyle w:val="tpa1"/>
          <w:rFonts w:ascii="Tahoma" w:hAnsi="Tahoma" w:cs="Tahoma"/>
          <w:sz w:val="24"/>
          <w:szCs w:val="24"/>
        </w:rPr>
        <w:t xml:space="preserve"> problemele curente ale </w:t>
      </w:r>
      <w:proofErr w:type="spellStart"/>
      <w:r w:rsidRPr="001D25E4">
        <w:rPr>
          <w:rStyle w:val="tpa1"/>
          <w:rFonts w:ascii="Tahoma" w:hAnsi="Tahoma" w:cs="Tahoma"/>
          <w:sz w:val="24"/>
          <w:szCs w:val="24"/>
        </w:rPr>
        <w:t>colectivităţii</w:t>
      </w:r>
      <w:proofErr w:type="spellEnd"/>
      <w:r w:rsidRPr="001D25E4">
        <w:rPr>
          <w:rStyle w:val="tpa1"/>
          <w:rFonts w:ascii="Tahoma" w:hAnsi="Tahoma" w:cs="Tahoma"/>
          <w:sz w:val="24"/>
          <w:szCs w:val="24"/>
        </w:rPr>
        <w:t xml:space="preserve"> locale.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Style w:val="tpa1"/>
          <w:rFonts w:ascii="Tahoma" w:hAnsi="Tahoma" w:cs="Tahoma"/>
          <w:sz w:val="24"/>
          <w:szCs w:val="24"/>
        </w:rPr>
      </w:pPr>
      <w:r>
        <w:rPr>
          <w:rStyle w:val="tpa1"/>
          <w:rFonts w:ascii="Tahoma" w:hAnsi="Tahoma" w:cs="Tahoma"/>
          <w:sz w:val="24"/>
          <w:szCs w:val="24"/>
        </w:rPr>
        <w:tab/>
        <w:t xml:space="preserve">Se poate observa că legea mai sus-invocată creează mai multe structuri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funcţionale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care  asigură îndeplinirea hotărârile consiliului local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şi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dispoziţiile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primarului. Din analiza textului legal rezultă că </w:t>
      </w:r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secretarul </w:t>
      </w:r>
      <w:proofErr w:type="spellStart"/>
      <w:r w:rsidRPr="00255901">
        <w:rPr>
          <w:rStyle w:val="tpa1"/>
          <w:rFonts w:ascii="Tahoma" w:hAnsi="Tahoma" w:cs="Tahoma"/>
          <w:i/>
          <w:sz w:val="24"/>
          <w:szCs w:val="24"/>
        </w:rPr>
        <w:t>unităţii</w:t>
      </w:r>
      <w:proofErr w:type="spellEnd"/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 administrativ teritoriale </w:t>
      </w:r>
      <w:proofErr w:type="spellStart"/>
      <w:r w:rsidRPr="00255901">
        <w:rPr>
          <w:rStyle w:val="tpa1"/>
          <w:rFonts w:ascii="Tahoma" w:hAnsi="Tahoma" w:cs="Tahoma"/>
          <w:i/>
          <w:sz w:val="24"/>
          <w:szCs w:val="24"/>
        </w:rPr>
        <w:t>şi</w:t>
      </w:r>
      <w:proofErr w:type="spellEnd"/>
      <w:r w:rsidRPr="00255901">
        <w:rPr>
          <w:rStyle w:val="tpa1"/>
          <w:rFonts w:ascii="Tahoma" w:hAnsi="Tahoma" w:cs="Tahoma"/>
          <w:i/>
          <w:sz w:val="24"/>
          <w:szCs w:val="24"/>
        </w:rPr>
        <w:t xml:space="preserve"> aparatul de specialitate al primarului sunt două structuri diferite</w:t>
      </w:r>
      <w:r>
        <w:rPr>
          <w:rStyle w:val="tpa1"/>
          <w:rFonts w:ascii="Tahoma" w:hAnsi="Tahoma" w:cs="Tahoma"/>
          <w:sz w:val="24"/>
          <w:szCs w:val="24"/>
        </w:rPr>
        <w:t>.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Style w:val="tpa1"/>
          <w:rFonts w:ascii="Tahoma" w:hAnsi="Tahoma" w:cs="Tahoma"/>
          <w:sz w:val="24"/>
          <w:szCs w:val="24"/>
        </w:rPr>
      </w:pPr>
      <w:r>
        <w:rPr>
          <w:rStyle w:val="tpa1"/>
          <w:rFonts w:ascii="Tahoma" w:hAnsi="Tahoma" w:cs="Tahoma"/>
          <w:sz w:val="24"/>
          <w:szCs w:val="24"/>
        </w:rPr>
        <w:tab/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Style w:val="tpa1"/>
          <w:rFonts w:ascii="Tahoma" w:hAnsi="Tahoma" w:cs="Tahoma"/>
          <w:sz w:val="24"/>
          <w:szCs w:val="24"/>
        </w:rPr>
      </w:pPr>
      <w:r>
        <w:rPr>
          <w:rStyle w:val="tpa1"/>
          <w:rFonts w:ascii="Tahoma" w:hAnsi="Tahoma" w:cs="Tahoma"/>
          <w:sz w:val="24"/>
          <w:szCs w:val="24"/>
        </w:rPr>
        <w:t xml:space="preserve">Aceste două structuri diferite (secretarul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şi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aparatul de specialitate) au, potrivit legii,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şi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competenţe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şi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atribuţii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diferite.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>
        <w:rPr>
          <w:rStyle w:val="tpa1"/>
          <w:rFonts w:ascii="Tahoma" w:hAnsi="Tahoma" w:cs="Tahoma"/>
          <w:sz w:val="24"/>
          <w:szCs w:val="24"/>
        </w:rPr>
        <w:tab/>
        <w:t xml:space="preserve">Astfel, în ceea ce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priveşte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Style w:val="tpa1"/>
          <w:rFonts w:ascii="Tahoma" w:hAnsi="Tahoma" w:cs="Tahoma"/>
          <w:sz w:val="24"/>
          <w:szCs w:val="24"/>
        </w:rPr>
        <w:t>atribuţiile</w:t>
      </w:r>
      <w:proofErr w:type="spellEnd"/>
      <w:r>
        <w:rPr>
          <w:rStyle w:val="tpa1"/>
          <w:rFonts w:ascii="Tahoma" w:hAnsi="Tahoma" w:cs="Tahoma"/>
          <w:sz w:val="24"/>
          <w:szCs w:val="24"/>
        </w:rPr>
        <w:t xml:space="preserve"> secretarului UAT acestea sunt enumerate la art. 117 din Legea nr. 215/2001, sens în care amintim: </w:t>
      </w:r>
      <w:bookmarkStart w:id="2" w:name="do|caX|ar117|lia"/>
      <w:bookmarkEnd w:id="2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avizează, pentru legalitate,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dispoziţiile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primarului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ale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preşedintelui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, hotărârile consiliului local, respectiv ale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bookmarkStart w:id="3" w:name="do|caX|ar117|lib"/>
      <w:bookmarkEnd w:id="3"/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participă la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şedinţele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consiliului local, respectiv ale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bookmarkStart w:id="4" w:name="do|caX|ar117|lic"/>
      <w:bookmarkEnd w:id="4"/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asigură gestionarea procedurilor administrative privind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relaţia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dintre consiliul local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primar, respectiv consiliul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preşedintele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acestuia, precum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între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aceştia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prefec</w:t>
      </w:r>
      <w:bookmarkStart w:id="5" w:name="do|caX|ar117|lid"/>
      <w:bookmarkEnd w:id="5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t, </w:t>
      </w:r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organizează arhiva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evidenţa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statistică a hotărârilor consiliului local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a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dispoziţiilor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primarului, respectiv a hotărârilor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a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dispoziţiilor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preşedintelui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bookmarkStart w:id="6" w:name="do|caX|ar117|lie"/>
      <w:bookmarkEnd w:id="6"/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asigură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transparenţa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comunicarea către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autorităţile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instituţiile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publice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persoanele interesate a actelor prevăzute la lit. a), în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condiţiile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Legii nr. </w:t>
      </w:r>
      <w:hyperlink r:id="rId4" w:history="1">
        <w:r w:rsidRPr="001D25E4">
          <w:rPr>
            <w:rFonts w:ascii="Tahoma" w:eastAsia="Times New Roman" w:hAnsi="Tahoma" w:cs="Tahoma"/>
            <w:bCs/>
            <w:color w:val="000000" w:themeColor="text1"/>
            <w:sz w:val="24"/>
            <w:szCs w:val="24"/>
            <w:lang w:eastAsia="ro-RO"/>
          </w:rPr>
          <w:t>544/2001</w:t>
        </w:r>
      </w:hyperlink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privind liberul acces la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informaţiile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de interes public, cu modificările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completările ulterioare</w:t>
      </w:r>
      <w:bookmarkStart w:id="7" w:name="do|caX|ar117|lif"/>
      <w:bookmarkEnd w:id="7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asigură procedurile de convocare a consiliului local, respectiv a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efectuarea lucrărilor de secretariat, comunică ordinea de zi,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întocmeşte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procesul-verbal al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şedinţelor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consiliului local, respectiv ale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redactează hotărârile consiliului local, respectiv ale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bookmarkStart w:id="8" w:name="do|caX|ar117|lig"/>
      <w:bookmarkEnd w:id="8"/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pregăteşte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lucrările supuse dezbaterii consiliului local, respectiv a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comisiilor de </w:t>
      </w:r>
      <w:r w:rsidRPr="001D25E4">
        <w:rPr>
          <w:rFonts w:ascii="Tahoma" w:eastAsia="Times New Roman" w:hAnsi="Tahoma" w:cs="Tahoma"/>
          <w:sz w:val="24"/>
          <w:szCs w:val="24"/>
          <w:lang w:eastAsia="ro-RO"/>
        </w:rPr>
        <w:lastRenderedPageBreak/>
        <w:t>specialitate ale acestuia</w:t>
      </w:r>
      <w:bookmarkStart w:id="9" w:name="do|caX|ar117|lih"/>
      <w:bookmarkEnd w:id="9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, </w:t>
      </w:r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alte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atribuţii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prevăzute de lege sau însărcinări date de consiliul local, de primar, de consiliul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sau de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preşedintele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 xml:space="preserve"> consiliului </w:t>
      </w:r>
      <w:proofErr w:type="spellStart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judeţean</w:t>
      </w:r>
      <w:proofErr w:type="spellEnd"/>
      <w:r w:rsidRPr="001D25E4">
        <w:rPr>
          <w:rFonts w:ascii="Tahoma" w:eastAsia="Times New Roman" w:hAnsi="Tahoma" w:cs="Tahoma"/>
          <w:sz w:val="24"/>
          <w:szCs w:val="24"/>
          <w:lang w:eastAsia="ro-RO"/>
        </w:rPr>
        <w:t>, după caz.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>
        <w:rPr>
          <w:rFonts w:ascii="Tahoma" w:eastAsia="Times New Roman" w:hAnsi="Tahoma" w:cs="Tahoma"/>
          <w:sz w:val="24"/>
          <w:szCs w:val="24"/>
          <w:lang w:eastAsia="ro-RO"/>
        </w:rPr>
        <w:tab/>
        <w:t xml:space="preserve">Din enumerarea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atribuţiilor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secretarului UAT rezultă că </w:t>
      </w:r>
      <w:r w:rsidRPr="00255901">
        <w:rPr>
          <w:rFonts w:ascii="Tahoma" w:eastAsia="Times New Roman" w:hAnsi="Tahoma" w:cs="Tahoma"/>
          <w:i/>
          <w:sz w:val="24"/>
          <w:szCs w:val="24"/>
          <w:lang w:eastAsia="ro-RO"/>
        </w:rPr>
        <w:t xml:space="preserve">nu este prevăzută expres posibilitatea de reprezentare în </w:t>
      </w:r>
      <w:proofErr w:type="spellStart"/>
      <w:r w:rsidRPr="00255901">
        <w:rPr>
          <w:rFonts w:ascii="Tahoma" w:eastAsia="Times New Roman" w:hAnsi="Tahoma" w:cs="Tahoma"/>
          <w:i/>
          <w:sz w:val="24"/>
          <w:szCs w:val="24"/>
          <w:lang w:eastAsia="ro-RO"/>
        </w:rPr>
        <w:t>justiţie</w:t>
      </w:r>
      <w:proofErr w:type="spellEnd"/>
      <w:r w:rsidRPr="00255901">
        <w:rPr>
          <w:rFonts w:ascii="Tahoma" w:eastAsia="Times New Roman" w:hAnsi="Tahoma" w:cs="Tahoma"/>
          <w:i/>
          <w:sz w:val="24"/>
          <w:szCs w:val="24"/>
          <w:lang w:eastAsia="ro-RO"/>
        </w:rPr>
        <w:t xml:space="preserve"> a UAT</w:t>
      </w:r>
      <w:r>
        <w:rPr>
          <w:rFonts w:ascii="Tahoma" w:eastAsia="Times New Roman" w:hAnsi="Tahoma" w:cs="Tahoma"/>
          <w:sz w:val="24"/>
          <w:szCs w:val="24"/>
          <w:lang w:eastAsia="ro-RO"/>
        </w:rPr>
        <w:t>, în sens tehnic, adică o reprezentare judiciară similară celei realizate de avocat sau consilier juridic.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Style w:val="tal1"/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lang w:eastAsia="ro-RO"/>
        </w:rPr>
        <w:tab/>
        <w:t xml:space="preserve">În ceea ce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priveşte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reprezentarea UAT în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justiţie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, art. 21 alin. 2 din Legea nr. 215/2001 prevede că </w:t>
      </w:r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în </w:t>
      </w:r>
      <w:proofErr w:type="spellStart"/>
      <w:r w:rsidRPr="00255901">
        <w:rPr>
          <w:rStyle w:val="tal1"/>
          <w:rFonts w:ascii="Tahoma" w:hAnsi="Tahoma" w:cs="Tahoma"/>
          <w:i/>
          <w:sz w:val="24"/>
          <w:szCs w:val="24"/>
        </w:rPr>
        <w:t>justiţie</w:t>
      </w:r>
      <w:proofErr w:type="spellEnd"/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Pr="00255901">
        <w:rPr>
          <w:rStyle w:val="tal1"/>
          <w:rFonts w:ascii="Tahoma" w:hAnsi="Tahoma" w:cs="Tahoma"/>
          <w:i/>
          <w:sz w:val="24"/>
          <w:szCs w:val="24"/>
        </w:rPr>
        <w:t>unităţile</w:t>
      </w:r>
      <w:proofErr w:type="spellEnd"/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 administrativ-teritoriale sunt reprezentate, după caz, de primar</w:t>
      </w:r>
      <w:r w:rsidRPr="00BD4E39">
        <w:rPr>
          <w:rStyle w:val="tal1"/>
          <w:rFonts w:ascii="Tahoma" w:hAnsi="Tahoma" w:cs="Tahoma"/>
          <w:sz w:val="24"/>
          <w:szCs w:val="24"/>
        </w:rPr>
        <w:t xml:space="preserve"> sau de </w:t>
      </w:r>
      <w:proofErr w:type="spellStart"/>
      <w:r w:rsidRPr="00BD4E39">
        <w:rPr>
          <w:rStyle w:val="tal1"/>
          <w:rFonts w:ascii="Tahoma" w:hAnsi="Tahoma" w:cs="Tahoma"/>
          <w:sz w:val="24"/>
          <w:szCs w:val="24"/>
        </w:rPr>
        <w:t>preşedintele</w:t>
      </w:r>
      <w:proofErr w:type="spellEnd"/>
      <w:r w:rsidRPr="00BD4E39">
        <w:rPr>
          <w:rStyle w:val="tal1"/>
          <w:rFonts w:ascii="Tahoma" w:hAnsi="Tahoma" w:cs="Tahoma"/>
          <w:sz w:val="24"/>
          <w:szCs w:val="24"/>
        </w:rPr>
        <w:t xml:space="preserve"> consiliului </w:t>
      </w:r>
      <w:proofErr w:type="spellStart"/>
      <w:r w:rsidRPr="00BD4E39">
        <w:rPr>
          <w:rStyle w:val="tal1"/>
          <w:rFonts w:ascii="Tahoma" w:hAnsi="Tahoma" w:cs="Tahoma"/>
          <w:sz w:val="24"/>
          <w:szCs w:val="24"/>
        </w:rPr>
        <w:t>judeţean</w:t>
      </w:r>
      <w:proofErr w:type="spellEnd"/>
      <w:r w:rsidRPr="00BD4E39">
        <w:rPr>
          <w:rStyle w:val="tal1"/>
          <w:rFonts w:ascii="Tahoma" w:hAnsi="Tahoma" w:cs="Tahoma"/>
          <w:sz w:val="24"/>
          <w:szCs w:val="24"/>
        </w:rPr>
        <w:t>.</w:t>
      </w:r>
      <w:r>
        <w:rPr>
          <w:rStyle w:val="tal1"/>
          <w:rFonts w:ascii="Tahoma" w:hAnsi="Tahoma" w:cs="Tahoma"/>
          <w:sz w:val="24"/>
          <w:szCs w:val="24"/>
        </w:rPr>
        <w:t xml:space="preserve"> În completare, art. 21 alin. 3 din Legea nr. 215/2001 </w:t>
      </w:r>
      <w:proofErr w:type="spellStart"/>
      <w:r>
        <w:rPr>
          <w:rStyle w:val="tal1"/>
          <w:rFonts w:ascii="Tahoma" w:hAnsi="Tahoma" w:cs="Tahoma"/>
          <w:sz w:val="24"/>
          <w:szCs w:val="24"/>
        </w:rPr>
        <w:t>menţionează</w:t>
      </w:r>
      <w:proofErr w:type="spellEnd"/>
      <w:r>
        <w:rPr>
          <w:rStyle w:val="tal1"/>
          <w:rFonts w:ascii="Tahoma" w:hAnsi="Tahoma" w:cs="Tahoma"/>
          <w:sz w:val="24"/>
          <w:szCs w:val="24"/>
        </w:rPr>
        <w:t xml:space="preserve"> că </w:t>
      </w:r>
      <w:r w:rsidRPr="00BD4E39">
        <w:rPr>
          <w:rStyle w:val="tal1"/>
          <w:rFonts w:ascii="Tahoma" w:hAnsi="Tahoma" w:cs="Tahoma"/>
          <w:sz w:val="24"/>
          <w:szCs w:val="24"/>
        </w:rPr>
        <w:t xml:space="preserve">primarul, respectiv </w:t>
      </w:r>
      <w:proofErr w:type="spellStart"/>
      <w:r w:rsidRPr="00BD4E39">
        <w:rPr>
          <w:rStyle w:val="tal1"/>
          <w:rFonts w:ascii="Tahoma" w:hAnsi="Tahoma" w:cs="Tahoma"/>
          <w:sz w:val="24"/>
          <w:szCs w:val="24"/>
        </w:rPr>
        <w:t>preşedintele</w:t>
      </w:r>
      <w:proofErr w:type="spellEnd"/>
      <w:r w:rsidRPr="00BD4E39">
        <w:rPr>
          <w:rStyle w:val="tal1"/>
          <w:rFonts w:ascii="Tahoma" w:hAnsi="Tahoma" w:cs="Tahoma"/>
          <w:sz w:val="24"/>
          <w:szCs w:val="24"/>
        </w:rPr>
        <w:t xml:space="preserve"> consiliului </w:t>
      </w:r>
      <w:proofErr w:type="spellStart"/>
      <w:r w:rsidRPr="00BD4E39">
        <w:rPr>
          <w:rStyle w:val="tal1"/>
          <w:rFonts w:ascii="Tahoma" w:hAnsi="Tahoma" w:cs="Tahoma"/>
          <w:sz w:val="24"/>
          <w:szCs w:val="24"/>
        </w:rPr>
        <w:t>judeţean</w:t>
      </w:r>
      <w:proofErr w:type="spellEnd"/>
      <w:r w:rsidRPr="00BD4E39">
        <w:rPr>
          <w:rStyle w:val="tal1"/>
          <w:rFonts w:ascii="Tahoma" w:hAnsi="Tahoma" w:cs="Tahoma"/>
          <w:sz w:val="24"/>
          <w:szCs w:val="24"/>
        </w:rPr>
        <w:t xml:space="preserve">, </w:t>
      </w:r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poate împuternici o persoană cu studii superioare juridice de lungă durată din cadrul aparatului de specialitate al primarului, respectiv al consiliului </w:t>
      </w:r>
      <w:proofErr w:type="spellStart"/>
      <w:r w:rsidRPr="00255901">
        <w:rPr>
          <w:rStyle w:val="tal1"/>
          <w:rFonts w:ascii="Tahoma" w:hAnsi="Tahoma" w:cs="Tahoma"/>
          <w:i/>
          <w:sz w:val="24"/>
          <w:szCs w:val="24"/>
        </w:rPr>
        <w:t>judeţean</w:t>
      </w:r>
      <w:proofErr w:type="spellEnd"/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, sau un avocat care să reprezinte interesele </w:t>
      </w:r>
      <w:proofErr w:type="spellStart"/>
      <w:r w:rsidRPr="00255901">
        <w:rPr>
          <w:rStyle w:val="tal1"/>
          <w:rFonts w:ascii="Tahoma" w:hAnsi="Tahoma" w:cs="Tahoma"/>
          <w:i/>
          <w:sz w:val="24"/>
          <w:szCs w:val="24"/>
        </w:rPr>
        <w:t>unităţii</w:t>
      </w:r>
      <w:proofErr w:type="spellEnd"/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 administrativ-teritoriale, precum </w:t>
      </w:r>
      <w:proofErr w:type="spellStart"/>
      <w:r w:rsidRPr="00255901">
        <w:rPr>
          <w:rStyle w:val="tal1"/>
          <w:rFonts w:ascii="Tahoma" w:hAnsi="Tahoma" w:cs="Tahoma"/>
          <w:i/>
          <w:sz w:val="24"/>
          <w:szCs w:val="24"/>
        </w:rPr>
        <w:t>şi</w:t>
      </w:r>
      <w:proofErr w:type="spellEnd"/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 ale </w:t>
      </w:r>
      <w:proofErr w:type="spellStart"/>
      <w:r w:rsidRPr="00255901">
        <w:rPr>
          <w:rStyle w:val="tal1"/>
          <w:rFonts w:ascii="Tahoma" w:hAnsi="Tahoma" w:cs="Tahoma"/>
          <w:i/>
          <w:sz w:val="24"/>
          <w:szCs w:val="24"/>
        </w:rPr>
        <w:t>autorităţilor</w:t>
      </w:r>
      <w:proofErr w:type="spellEnd"/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55901">
        <w:rPr>
          <w:rStyle w:val="tal1"/>
          <w:rFonts w:ascii="Tahoma" w:hAnsi="Tahoma" w:cs="Tahoma"/>
          <w:i/>
          <w:sz w:val="24"/>
          <w:szCs w:val="24"/>
        </w:rPr>
        <w:t>administraţiei</w:t>
      </w:r>
      <w:proofErr w:type="spellEnd"/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 publice locale respective, în </w:t>
      </w:r>
      <w:proofErr w:type="spellStart"/>
      <w:r w:rsidRPr="00255901">
        <w:rPr>
          <w:rStyle w:val="tal1"/>
          <w:rFonts w:ascii="Tahoma" w:hAnsi="Tahoma" w:cs="Tahoma"/>
          <w:i/>
          <w:sz w:val="24"/>
          <w:szCs w:val="24"/>
        </w:rPr>
        <w:t>justiţie</w:t>
      </w:r>
      <w:proofErr w:type="spellEnd"/>
      <w:r w:rsidRPr="00BD4E39">
        <w:rPr>
          <w:rStyle w:val="tal1"/>
          <w:rFonts w:ascii="Tahoma" w:hAnsi="Tahoma" w:cs="Tahoma"/>
          <w:sz w:val="24"/>
          <w:szCs w:val="24"/>
        </w:rPr>
        <w:t>.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Style w:val="tal1"/>
          <w:rFonts w:ascii="Tahoma" w:hAnsi="Tahoma" w:cs="Tahoma"/>
          <w:sz w:val="24"/>
          <w:szCs w:val="24"/>
        </w:rPr>
      </w:pPr>
      <w:r>
        <w:rPr>
          <w:rStyle w:val="tal1"/>
          <w:rFonts w:ascii="Tahoma" w:hAnsi="Tahoma" w:cs="Tahoma"/>
          <w:sz w:val="24"/>
          <w:szCs w:val="24"/>
        </w:rPr>
        <w:tab/>
        <w:t xml:space="preserve">Din analiza celor două texte legale rezultă că UAT locală poate fi reprezentată în </w:t>
      </w:r>
      <w:proofErr w:type="spellStart"/>
      <w:r>
        <w:rPr>
          <w:rStyle w:val="tal1"/>
          <w:rFonts w:ascii="Tahoma" w:hAnsi="Tahoma" w:cs="Tahoma"/>
          <w:sz w:val="24"/>
          <w:szCs w:val="24"/>
        </w:rPr>
        <w:t>justiţie</w:t>
      </w:r>
      <w:proofErr w:type="spellEnd"/>
      <w:r>
        <w:rPr>
          <w:rStyle w:val="tal1"/>
          <w:rFonts w:ascii="Tahoma" w:hAnsi="Tahoma" w:cs="Tahoma"/>
          <w:sz w:val="24"/>
          <w:szCs w:val="24"/>
        </w:rPr>
        <w:t xml:space="preserve"> de primar sau de o persoană delegată de primar care trebuie să îndeplinească următoarele </w:t>
      </w:r>
      <w:proofErr w:type="spellStart"/>
      <w:r>
        <w:rPr>
          <w:rStyle w:val="tal1"/>
          <w:rFonts w:ascii="Tahoma" w:hAnsi="Tahoma" w:cs="Tahoma"/>
          <w:sz w:val="24"/>
          <w:szCs w:val="24"/>
        </w:rPr>
        <w:t>condiţii</w:t>
      </w:r>
      <w:proofErr w:type="spellEnd"/>
      <w:r>
        <w:rPr>
          <w:rStyle w:val="tal1"/>
          <w:rFonts w:ascii="Tahoma" w:hAnsi="Tahoma" w:cs="Tahoma"/>
          <w:sz w:val="24"/>
          <w:szCs w:val="24"/>
        </w:rPr>
        <w:t xml:space="preserve"> : 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Style w:val="tal1"/>
          <w:rFonts w:ascii="Tahoma" w:hAnsi="Tahoma" w:cs="Tahoma"/>
          <w:sz w:val="24"/>
          <w:szCs w:val="24"/>
        </w:rPr>
      </w:pPr>
      <w:r>
        <w:rPr>
          <w:rStyle w:val="tal1"/>
          <w:rFonts w:ascii="Tahoma" w:hAnsi="Tahoma" w:cs="Tahoma"/>
          <w:sz w:val="24"/>
          <w:szCs w:val="24"/>
        </w:rPr>
        <w:t xml:space="preserve">-persoană cu </w:t>
      </w:r>
      <w:r w:rsidRPr="00BD4E39">
        <w:rPr>
          <w:rStyle w:val="tal1"/>
          <w:rFonts w:ascii="Tahoma" w:hAnsi="Tahoma" w:cs="Tahoma"/>
          <w:sz w:val="24"/>
          <w:szCs w:val="24"/>
        </w:rPr>
        <w:t>studii superioare juridice de lungă durată</w:t>
      </w:r>
      <w:r>
        <w:rPr>
          <w:rStyle w:val="tal1"/>
          <w:rFonts w:ascii="Tahoma" w:hAnsi="Tahoma" w:cs="Tahoma"/>
          <w:sz w:val="24"/>
          <w:szCs w:val="24"/>
        </w:rPr>
        <w:t xml:space="preserve"> </w:t>
      </w:r>
      <w:r w:rsidRPr="00BD4E39">
        <w:rPr>
          <w:rStyle w:val="tal1"/>
          <w:rFonts w:ascii="Tahoma" w:hAnsi="Tahoma" w:cs="Tahoma"/>
          <w:sz w:val="24"/>
          <w:szCs w:val="24"/>
        </w:rPr>
        <w:t>din cadrul aparatului de specialitate al primarului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Style w:val="tal1"/>
          <w:rFonts w:ascii="Tahoma" w:hAnsi="Tahoma" w:cs="Tahoma"/>
          <w:sz w:val="24"/>
          <w:szCs w:val="24"/>
        </w:rPr>
      </w:pPr>
      <w:r>
        <w:rPr>
          <w:rStyle w:val="tal1"/>
          <w:rFonts w:ascii="Tahoma" w:hAnsi="Tahoma" w:cs="Tahoma"/>
          <w:sz w:val="24"/>
          <w:szCs w:val="24"/>
        </w:rPr>
        <w:t>-persoană să aibă calitatea de avocat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Style w:val="tal1"/>
          <w:rFonts w:ascii="Tahoma" w:hAnsi="Tahoma" w:cs="Tahoma"/>
          <w:sz w:val="24"/>
          <w:szCs w:val="24"/>
        </w:rPr>
      </w:pPr>
      <w:r>
        <w:rPr>
          <w:rStyle w:val="tal1"/>
          <w:rFonts w:ascii="Tahoma" w:hAnsi="Tahoma" w:cs="Tahoma"/>
          <w:sz w:val="24"/>
          <w:szCs w:val="24"/>
        </w:rPr>
        <w:t xml:space="preserve">Cu privire la prima ipoteză este de </w:t>
      </w:r>
      <w:proofErr w:type="spellStart"/>
      <w:r>
        <w:rPr>
          <w:rStyle w:val="tal1"/>
          <w:rFonts w:ascii="Tahoma" w:hAnsi="Tahoma" w:cs="Tahoma"/>
          <w:sz w:val="24"/>
          <w:szCs w:val="24"/>
        </w:rPr>
        <w:t>menţionat</w:t>
      </w:r>
      <w:proofErr w:type="spellEnd"/>
      <w:r>
        <w:rPr>
          <w:rStyle w:val="tal1"/>
          <w:rFonts w:ascii="Tahoma" w:hAnsi="Tahoma" w:cs="Tahoma"/>
          <w:sz w:val="24"/>
          <w:szCs w:val="24"/>
        </w:rPr>
        <w:t xml:space="preserve"> </w:t>
      </w:r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că această persoană, în opinia noastră , nu poate fi secretarul UAT din moment ce se face vorbire de o persoană din aparatul de specialitate al primarului </w:t>
      </w:r>
      <w:r>
        <w:rPr>
          <w:rStyle w:val="tal1"/>
          <w:rFonts w:ascii="Tahoma" w:hAnsi="Tahoma" w:cs="Tahoma"/>
          <w:sz w:val="24"/>
          <w:szCs w:val="24"/>
        </w:rPr>
        <w:t xml:space="preserve">(secretarul conform art. 77 alin. 1 din Legea nr. 215/2001 nu face parte dina acest aparat de specialitate, fiind două structuri distincte). În </w:t>
      </w:r>
      <w:proofErr w:type="spellStart"/>
      <w:r>
        <w:rPr>
          <w:rStyle w:val="tal1"/>
          <w:rFonts w:ascii="Tahoma" w:hAnsi="Tahoma" w:cs="Tahoma"/>
          <w:sz w:val="24"/>
          <w:szCs w:val="24"/>
        </w:rPr>
        <w:t>consecinţă</w:t>
      </w:r>
      <w:proofErr w:type="spellEnd"/>
      <w:r>
        <w:rPr>
          <w:rStyle w:val="tal1"/>
          <w:rFonts w:ascii="Tahoma" w:hAnsi="Tahoma" w:cs="Tahoma"/>
          <w:sz w:val="24"/>
          <w:szCs w:val="24"/>
        </w:rPr>
        <w:t xml:space="preserve">, secretarul UAT locale nu poate face acte sau fapte de reprezentare în </w:t>
      </w:r>
      <w:proofErr w:type="spellStart"/>
      <w:r>
        <w:rPr>
          <w:rStyle w:val="tal1"/>
          <w:rFonts w:ascii="Tahoma" w:hAnsi="Tahoma" w:cs="Tahoma"/>
          <w:sz w:val="24"/>
          <w:szCs w:val="24"/>
        </w:rPr>
        <w:t>justiţie</w:t>
      </w:r>
      <w:proofErr w:type="spellEnd"/>
      <w:r>
        <w:rPr>
          <w:rStyle w:val="tal1"/>
          <w:rFonts w:ascii="Tahoma" w:hAnsi="Tahoma" w:cs="Tahoma"/>
          <w:sz w:val="24"/>
          <w:szCs w:val="24"/>
        </w:rPr>
        <w:t xml:space="preserve"> pentru UAT locală, acte similare celor înfăptuite de către avocat ori consilier juridic. 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Style w:val="tal1"/>
          <w:rFonts w:ascii="Tahoma" w:hAnsi="Tahoma" w:cs="Tahoma"/>
          <w:sz w:val="24"/>
          <w:szCs w:val="24"/>
        </w:rPr>
      </w:pPr>
      <w:r>
        <w:rPr>
          <w:rStyle w:val="tal1"/>
          <w:rFonts w:ascii="Tahoma" w:hAnsi="Tahoma" w:cs="Tahoma"/>
          <w:sz w:val="24"/>
          <w:szCs w:val="24"/>
        </w:rPr>
        <w:t xml:space="preserve">În sprijinul acestei opinii poate fi adus </w:t>
      </w:r>
      <w:proofErr w:type="spellStart"/>
      <w:r>
        <w:rPr>
          <w:rStyle w:val="tal1"/>
          <w:rFonts w:ascii="Tahoma" w:hAnsi="Tahoma" w:cs="Tahoma"/>
          <w:sz w:val="24"/>
          <w:szCs w:val="24"/>
        </w:rPr>
        <w:t>şi</w:t>
      </w:r>
      <w:proofErr w:type="spellEnd"/>
      <w:r>
        <w:rPr>
          <w:rStyle w:val="tal1"/>
          <w:rFonts w:ascii="Tahoma" w:hAnsi="Tahoma" w:cs="Tahoma"/>
          <w:sz w:val="24"/>
          <w:szCs w:val="24"/>
        </w:rPr>
        <w:t xml:space="preserve"> un alt argument de text, respectiv art. 21 alin. 4 din Legea nr. 215/2001 care prevede că </w:t>
      </w:r>
      <w:r w:rsidRPr="00BD4E39">
        <w:rPr>
          <w:rStyle w:val="tal1"/>
          <w:rFonts w:ascii="Tahoma" w:hAnsi="Tahoma" w:cs="Tahoma"/>
          <w:sz w:val="24"/>
          <w:szCs w:val="24"/>
        </w:rPr>
        <w:t xml:space="preserve">unitatea administrativ-teritorială are dreptul să beneficieze de acoperirea cheltuielilor de judecată stabilite în baza hotărârii </w:t>
      </w:r>
      <w:proofErr w:type="spellStart"/>
      <w:r w:rsidRPr="00BD4E39">
        <w:rPr>
          <w:rStyle w:val="tal1"/>
          <w:rFonts w:ascii="Tahoma" w:hAnsi="Tahoma" w:cs="Tahoma"/>
          <w:sz w:val="24"/>
          <w:szCs w:val="24"/>
        </w:rPr>
        <w:t>instanţei</w:t>
      </w:r>
      <w:proofErr w:type="spellEnd"/>
      <w:r w:rsidRPr="00BD4E39">
        <w:rPr>
          <w:rStyle w:val="tal1"/>
          <w:rFonts w:ascii="Tahoma" w:hAnsi="Tahoma" w:cs="Tahoma"/>
          <w:sz w:val="24"/>
          <w:szCs w:val="24"/>
        </w:rPr>
        <w:t xml:space="preserve"> de judecată, inclusiv în </w:t>
      </w:r>
      <w:proofErr w:type="spellStart"/>
      <w:r w:rsidRPr="00BD4E39">
        <w:rPr>
          <w:rStyle w:val="tal1"/>
          <w:rFonts w:ascii="Tahoma" w:hAnsi="Tahoma" w:cs="Tahoma"/>
          <w:sz w:val="24"/>
          <w:szCs w:val="24"/>
        </w:rPr>
        <w:t>situaţia</w:t>
      </w:r>
      <w:proofErr w:type="spellEnd"/>
      <w:r w:rsidRPr="00BD4E39">
        <w:rPr>
          <w:rStyle w:val="tal1"/>
          <w:rFonts w:ascii="Tahoma" w:hAnsi="Tahoma" w:cs="Tahoma"/>
          <w:sz w:val="24"/>
          <w:szCs w:val="24"/>
        </w:rPr>
        <w:t xml:space="preserve"> în care </w:t>
      </w:r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reprezentarea în </w:t>
      </w:r>
      <w:proofErr w:type="spellStart"/>
      <w:r w:rsidRPr="00255901">
        <w:rPr>
          <w:rStyle w:val="tal1"/>
          <w:rFonts w:ascii="Tahoma" w:hAnsi="Tahoma" w:cs="Tahoma"/>
          <w:i/>
          <w:sz w:val="24"/>
          <w:szCs w:val="24"/>
        </w:rPr>
        <w:t>justiţie</w:t>
      </w:r>
      <w:proofErr w:type="spellEnd"/>
      <w:r w:rsidRPr="00255901">
        <w:rPr>
          <w:rStyle w:val="tal1"/>
          <w:rFonts w:ascii="Tahoma" w:hAnsi="Tahoma" w:cs="Tahoma"/>
          <w:i/>
          <w:sz w:val="24"/>
          <w:szCs w:val="24"/>
        </w:rPr>
        <w:t xml:space="preserve"> este asigurată de un consilier juridic din aparatul de specialitate al primarului</w:t>
      </w:r>
      <w:r w:rsidRPr="00BD4E39">
        <w:rPr>
          <w:rStyle w:val="tal1"/>
          <w:rFonts w:ascii="Tahoma" w:hAnsi="Tahoma" w:cs="Tahoma"/>
          <w:sz w:val="24"/>
          <w:szCs w:val="24"/>
        </w:rPr>
        <w:t>, re</w:t>
      </w:r>
      <w:r>
        <w:rPr>
          <w:rStyle w:val="tal1"/>
          <w:rFonts w:ascii="Tahoma" w:hAnsi="Tahoma" w:cs="Tahoma"/>
          <w:sz w:val="24"/>
          <w:szCs w:val="24"/>
        </w:rPr>
        <w:t xml:space="preserve">spectiv al consiliului </w:t>
      </w:r>
      <w:proofErr w:type="spellStart"/>
      <w:r>
        <w:rPr>
          <w:rStyle w:val="tal1"/>
          <w:rFonts w:ascii="Tahoma" w:hAnsi="Tahoma" w:cs="Tahoma"/>
          <w:sz w:val="24"/>
          <w:szCs w:val="24"/>
        </w:rPr>
        <w:t>judeţean</w:t>
      </w:r>
      <w:proofErr w:type="spellEnd"/>
      <w:r>
        <w:rPr>
          <w:rStyle w:val="tal1"/>
          <w:rFonts w:ascii="Tahoma" w:hAnsi="Tahoma" w:cs="Tahoma"/>
          <w:sz w:val="24"/>
          <w:szCs w:val="24"/>
        </w:rPr>
        <w:t xml:space="preserve"> (textul legal face </w:t>
      </w:r>
      <w:proofErr w:type="spellStart"/>
      <w:r>
        <w:rPr>
          <w:rStyle w:val="tal1"/>
          <w:rFonts w:ascii="Tahoma" w:hAnsi="Tahoma" w:cs="Tahoma"/>
          <w:sz w:val="24"/>
          <w:szCs w:val="24"/>
        </w:rPr>
        <w:t>menţiune</w:t>
      </w:r>
      <w:proofErr w:type="spellEnd"/>
      <w:r>
        <w:rPr>
          <w:rStyle w:val="tal1"/>
          <w:rFonts w:ascii="Tahoma" w:hAnsi="Tahoma" w:cs="Tahoma"/>
          <w:sz w:val="24"/>
          <w:szCs w:val="24"/>
        </w:rPr>
        <w:t xml:space="preserve"> de reprezentarea prin consilier juridic). 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>
        <w:rPr>
          <w:rStyle w:val="tal1"/>
          <w:rFonts w:ascii="Tahoma" w:hAnsi="Tahoma" w:cs="Tahoma"/>
          <w:sz w:val="24"/>
          <w:szCs w:val="24"/>
        </w:rPr>
        <w:t xml:space="preserve">Mai mult decât atât, art. I din OUG nr. 26/2012 prevede că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autorităţile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instituţiile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publice ale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administraţiei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publice locale, indiferent de modul de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finanţare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subordonare care au în structura organizatorică personal propriu de specialitate juridică nu pot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achiziţiona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servicii juridice de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consultanţă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, de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asistenţă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/sau de reprezentare.</w:t>
      </w:r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În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situaţii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temeinic justificate, în care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activităţile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juridice de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consultanţă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, de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asistenţă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/sau de reprezentare, necesare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autorităţilor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instituţiilor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publice locale, nu se pot asigura de către personalul de specialitate juridică angajat în aceste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entităţi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, pot fi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achiziţionate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servicii de această natură, în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condiţiile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legii, numai cu aprobarea</w:t>
      </w:r>
      <w:bookmarkStart w:id="10" w:name="do|arI|al2|lia"/>
      <w:bookmarkEnd w:id="10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bookmarkStart w:id="11" w:name="do|arI|al2|lib"/>
      <w:bookmarkEnd w:id="11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consiliilor locale, consiliilor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judeţene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sau Consiliului General al Municipiului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Bucureşti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, după caz, pentru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autorităţile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instituţiile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publice ale </w:t>
      </w:r>
      <w:proofErr w:type="spellStart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>administraţiei</w:t>
      </w:r>
      <w:proofErr w:type="spellEnd"/>
      <w:r w:rsidRPr="00BD4E39">
        <w:rPr>
          <w:rFonts w:ascii="Tahoma" w:eastAsia="Times New Roman" w:hAnsi="Tahoma" w:cs="Tahoma"/>
          <w:sz w:val="24"/>
          <w:szCs w:val="24"/>
          <w:lang w:eastAsia="ro-RO"/>
        </w:rPr>
        <w:t xml:space="preserve"> publice locale.</w:t>
      </w:r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prin această reglementare se consacră ideea de „</w:t>
      </w:r>
      <w:r w:rsidRPr="00BD4E39">
        <w:rPr>
          <w:rFonts w:ascii="Tahoma" w:eastAsia="Times New Roman" w:hAnsi="Tahoma" w:cs="Tahoma"/>
          <w:sz w:val="24"/>
          <w:szCs w:val="24"/>
          <w:lang w:eastAsia="ro-RO"/>
        </w:rPr>
        <w:t>personal propriu de specialitate juridică</w:t>
      </w:r>
      <w:r>
        <w:rPr>
          <w:rFonts w:ascii="Tahoma" w:eastAsia="Times New Roman" w:hAnsi="Tahoma" w:cs="Tahoma"/>
          <w:sz w:val="24"/>
          <w:szCs w:val="24"/>
          <w:lang w:eastAsia="ro-RO"/>
        </w:rPr>
        <w:t>” care se referă, în considerarea textelor legale mai sus-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menţionate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, la persoanele angajate în aparatul propriu de specialitate al primarului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nu se referă la secretarul UAT.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>
        <w:rPr>
          <w:rFonts w:ascii="Tahoma" w:eastAsia="Times New Roman" w:hAnsi="Tahoma" w:cs="Tahoma"/>
          <w:sz w:val="24"/>
          <w:szCs w:val="24"/>
          <w:lang w:eastAsia="ro-RO"/>
        </w:rPr>
        <w:lastRenderedPageBreak/>
        <w:tab/>
        <w:t xml:space="preserve">Cu privire la necesitatea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iniţierii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procedurilor pentru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declanşarea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mecanismului referitor la un eventual recurs în interesul legii pe această problematică, hotărârea poate fi luată </w:t>
      </w:r>
      <w:r w:rsidRPr="00255901">
        <w:rPr>
          <w:rFonts w:ascii="Tahoma" w:eastAsia="Times New Roman" w:hAnsi="Tahoma" w:cs="Tahoma"/>
          <w:i/>
          <w:sz w:val="24"/>
          <w:szCs w:val="24"/>
          <w:lang w:eastAsia="ro-RO"/>
        </w:rPr>
        <w:t xml:space="preserve">numai în cazul dovedirii unei practici </w:t>
      </w:r>
      <w:proofErr w:type="spellStart"/>
      <w:r w:rsidRPr="00255901">
        <w:rPr>
          <w:rFonts w:ascii="Tahoma" w:eastAsia="Times New Roman" w:hAnsi="Tahoma" w:cs="Tahoma"/>
          <w:i/>
          <w:sz w:val="24"/>
          <w:szCs w:val="24"/>
          <w:lang w:eastAsia="ro-RO"/>
        </w:rPr>
        <w:t>jurisprudenţiale</w:t>
      </w:r>
      <w:proofErr w:type="spellEnd"/>
      <w:r w:rsidRPr="00255901">
        <w:rPr>
          <w:rFonts w:ascii="Tahoma" w:eastAsia="Times New Roman" w:hAnsi="Tahoma" w:cs="Tahoma"/>
          <w:i/>
          <w:sz w:val="24"/>
          <w:szCs w:val="24"/>
          <w:lang w:eastAsia="ro-RO"/>
        </w:rPr>
        <w:t xml:space="preserve"> neunitare</w:t>
      </w:r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cu privire la aspectele analizate (hotărâri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judecătoreşti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definitive prin care s-a recunoscut posibilitatea secretarului UAT de reprezenta în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justiţie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, similar avocatului ori consilierului juridic unitatea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hotărâri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judecătoreşti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definitive contrare în sensul că UAT locală nu poate fi reprezentată în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justiţie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decât prin consilier juridic ori avocat, în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condiţiile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legii.</w:t>
      </w:r>
    </w:p>
    <w:p w:rsidR="007C7569" w:rsidRDefault="007C7569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>
        <w:rPr>
          <w:rFonts w:ascii="Tahoma" w:eastAsia="Times New Roman" w:hAnsi="Tahoma" w:cs="Tahoma"/>
          <w:sz w:val="24"/>
          <w:szCs w:val="24"/>
          <w:lang w:eastAsia="ro-RO"/>
        </w:rPr>
        <w:tab/>
        <w:t xml:space="preserve">În fine, cu privire la sesizarea organelor competente pentru o eventuală faptă de natură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infracţională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(exercitarea fără drept a profesiei de avocat), </w:t>
      </w:r>
      <w:proofErr w:type="spellStart"/>
      <w:r>
        <w:rPr>
          <w:rFonts w:ascii="Tahoma" w:eastAsia="Times New Roman" w:hAnsi="Tahoma" w:cs="Tahoma"/>
          <w:sz w:val="24"/>
          <w:szCs w:val="24"/>
          <w:lang w:eastAsia="ro-RO"/>
        </w:rPr>
        <w:t>menţionăm</w:t>
      </w:r>
      <w:proofErr w:type="spellEnd"/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faptul că la art. 26 din Legea nr. 51/1995 </w:t>
      </w:r>
      <w:r w:rsidR="005C5545">
        <w:rPr>
          <w:rFonts w:ascii="Tahoma" w:eastAsia="Times New Roman" w:hAnsi="Tahoma" w:cs="Tahoma"/>
          <w:sz w:val="24"/>
          <w:szCs w:val="24"/>
          <w:lang w:eastAsia="ro-RO"/>
        </w:rPr>
        <w:t>p</w:t>
      </w:r>
      <w:r>
        <w:rPr>
          <w:rFonts w:ascii="Tahoma" w:eastAsia="Times New Roman" w:hAnsi="Tahoma" w:cs="Tahoma"/>
          <w:sz w:val="24"/>
          <w:szCs w:val="24"/>
          <w:lang w:eastAsia="ro-RO"/>
        </w:rPr>
        <w:t>revede că e</w:t>
      </w:r>
      <w:r w:rsidRPr="00D72D33">
        <w:rPr>
          <w:rFonts w:ascii="Tahoma" w:eastAsia="Times New Roman" w:hAnsi="Tahoma" w:cs="Tahoma"/>
          <w:sz w:val="24"/>
          <w:szCs w:val="24"/>
          <w:lang w:eastAsia="ro-RO"/>
        </w:rPr>
        <w:t xml:space="preserve">xercitarea </w:t>
      </w:r>
      <w:r w:rsidR="005C5545">
        <w:rPr>
          <w:rFonts w:ascii="Tahoma" w:eastAsia="Times New Roman" w:hAnsi="Tahoma" w:cs="Tahoma"/>
          <w:sz w:val="24"/>
          <w:szCs w:val="24"/>
          <w:lang w:eastAsia="ro-RO"/>
        </w:rPr>
        <w:t xml:space="preserve">fără drept a </w:t>
      </w:r>
      <w:r w:rsidRPr="00D72D33">
        <w:rPr>
          <w:rFonts w:ascii="Tahoma" w:eastAsia="Times New Roman" w:hAnsi="Tahoma" w:cs="Tahoma"/>
          <w:sz w:val="24"/>
          <w:szCs w:val="24"/>
          <w:lang w:eastAsia="ro-RO"/>
        </w:rPr>
        <w:t xml:space="preserve">oricărei </w:t>
      </w:r>
      <w:proofErr w:type="spellStart"/>
      <w:r w:rsidRPr="00D72D33">
        <w:rPr>
          <w:rFonts w:ascii="Tahoma" w:eastAsia="Times New Roman" w:hAnsi="Tahoma" w:cs="Tahoma"/>
          <w:sz w:val="24"/>
          <w:szCs w:val="24"/>
          <w:lang w:eastAsia="ro-RO"/>
        </w:rPr>
        <w:t>activităţi</w:t>
      </w:r>
      <w:proofErr w:type="spellEnd"/>
      <w:r w:rsidRPr="00D72D33">
        <w:rPr>
          <w:rFonts w:ascii="Tahoma" w:eastAsia="Times New Roman" w:hAnsi="Tahoma" w:cs="Tahoma"/>
          <w:sz w:val="24"/>
          <w:szCs w:val="24"/>
          <w:lang w:eastAsia="ro-RO"/>
        </w:rPr>
        <w:t xml:space="preserve"> specific</w:t>
      </w:r>
      <w:r w:rsidR="005C5545">
        <w:rPr>
          <w:rFonts w:ascii="Tahoma" w:eastAsia="Times New Roman" w:hAnsi="Tahoma" w:cs="Tahoma"/>
          <w:sz w:val="24"/>
          <w:szCs w:val="24"/>
          <w:lang w:eastAsia="ro-RO"/>
        </w:rPr>
        <w:t xml:space="preserve">e </w:t>
      </w:r>
      <w:r w:rsidRPr="00D72D33">
        <w:rPr>
          <w:rFonts w:ascii="Tahoma" w:eastAsia="Times New Roman" w:hAnsi="Tahoma" w:cs="Tahoma"/>
          <w:sz w:val="24"/>
          <w:szCs w:val="24"/>
          <w:lang w:eastAsia="ro-RO"/>
        </w:rPr>
        <w:t xml:space="preserve">profesiei de avocat constituie </w:t>
      </w:r>
      <w:proofErr w:type="spellStart"/>
      <w:r w:rsidRPr="00D72D33">
        <w:rPr>
          <w:rFonts w:ascii="Tahoma" w:eastAsia="Times New Roman" w:hAnsi="Tahoma" w:cs="Tahoma"/>
          <w:sz w:val="24"/>
          <w:szCs w:val="24"/>
          <w:lang w:eastAsia="ro-RO"/>
        </w:rPr>
        <w:t>infracţiune</w:t>
      </w:r>
      <w:proofErr w:type="spellEnd"/>
      <w:r w:rsidRPr="00D72D33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proofErr w:type="spellStart"/>
      <w:r w:rsidRPr="00D72D33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D72D33">
        <w:rPr>
          <w:rFonts w:ascii="Tahoma" w:eastAsia="Times New Roman" w:hAnsi="Tahoma" w:cs="Tahoma"/>
          <w:sz w:val="24"/>
          <w:szCs w:val="24"/>
          <w:lang w:eastAsia="ro-RO"/>
        </w:rPr>
        <w:t xml:space="preserve"> se </w:t>
      </w:r>
      <w:proofErr w:type="spellStart"/>
      <w:r w:rsidRPr="00D72D33">
        <w:rPr>
          <w:rFonts w:ascii="Tahoma" w:eastAsia="Times New Roman" w:hAnsi="Tahoma" w:cs="Tahoma"/>
          <w:sz w:val="24"/>
          <w:szCs w:val="24"/>
          <w:lang w:eastAsia="ro-RO"/>
        </w:rPr>
        <w:t>pedepseşte</w:t>
      </w:r>
      <w:proofErr w:type="spellEnd"/>
      <w:r w:rsidRPr="00D72D33">
        <w:rPr>
          <w:rFonts w:ascii="Tahoma" w:eastAsia="Times New Roman" w:hAnsi="Tahoma" w:cs="Tahoma"/>
          <w:sz w:val="24"/>
          <w:szCs w:val="24"/>
          <w:lang w:eastAsia="ro-RO"/>
        </w:rPr>
        <w:t xml:space="preserve"> potrivit legii penale.</w:t>
      </w:r>
      <w:r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</w:p>
    <w:p w:rsidR="005C5545" w:rsidRDefault="005C5545" w:rsidP="0086265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</w:p>
    <w:p w:rsidR="00067612" w:rsidRDefault="00067612"/>
    <w:sectPr w:rsidR="00067612" w:rsidSect="00AF0EAF">
      <w:pgSz w:w="11909" w:h="16834" w:code="9"/>
      <w:pgMar w:top="72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69"/>
    <w:rsid w:val="00067612"/>
    <w:rsid w:val="005C5545"/>
    <w:rsid w:val="007C7569"/>
    <w:rsid w:val="0086265E"/>
    <w:rsid w:val="00A446C3"/>
    <w:rsid w:val="00A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BC80"/>
  <w15:chartTrackingRefBased/>
  <w15:docId w15:val="{3CBCEC2D-2CF3-45AD-B731-4374765E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569"/>
    <w:pPr>
      <w:spacing w:after="160"/>
    </w:pPr>
    <w:rPr>
      <w:rFonts w:asciiTheme="minorHAnsi" w:hAnsiTheme="minorHAnsi"/>
      <w:sz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7C7569"/>
  </w:style>
  <w:style w:type="character" w:customStyle="1" w:styleId="tal1">
    <w:name w:val="tal1"/>
    <w:basedOn w:val="DefaultParagraphFont"/>
    <w:rsid w:val="007C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1147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Gherasim</dc:creator>
  <cp:keywords/>
  <dc:description/>
  <cp:lastModifiedBy>Sandu Gherasim</cp:lastModifiedBy>
  <cp:revision>4</cp:revision>
  <dcterms:created xsi:type="dcterms:W3CDTF">2018-02-12T10:30:00Z</dcterms:created>
  <dcterms:modified xsi:type="dcterms:W3CDTF">2018-02-12T13:30:00Z</dcterms:modified>
</cp:coreProperties>
</file>