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0453D" w14:textId="77777777" w:rsidR="00C13284" w:rsidRPr="00A83524" w:rsidRDefault="00C13284" w:rsidP="00164773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cs="Arial"/>
        </w:rPr>
      </w:pPr>
      <w:bookmarkStart w:id="0" w:name="_GoBack"/>
      <w:bookmarkEnd w:id="0"/>
    </w:p>
    <w:p w14:paraId="0ECCFFCB" w14:textId="77777777" w:rsidR="004E1558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 xml:space="preserve">I N F O R M A R E </w:t>
      </w:r>
    </w:p>
    <w:p w14:paraId="697DBEEC" w14:textId="77777777" w:rsidR="004E1558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>a</w:t>
      </w:r>
      <w:r w:rsidR="00A83524">
        <w:rPr>
          <w:rFonts w:cs="Arial"/>
          <w:b/>
          <w:sz w:val="28"/>
          <w:szCs w:val="28"/>
        </w:rPr>
        <w:t xml:space="preserve"> </w:t>
      </w:r>
    </w:p>
    <w:p w14:paraId="18125C12" w14:textId="77777777" w:rsidR="00216065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 xml:space="preserve"> Comisiei Permanente a Uniunii Naționale a Barourilor </w:t>
      </w:r>
    </w:p>
    <w:p w14:paraId="1362ED71" w14:textId="77777777" w:rsidR="00216065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 xml:space="preserve">din România </w:t>
      </w:r>
      <w:r w:rsidR="00B27A34" w:rsidRPr="00A83524">
        <w:rPr>
          <w:rFonts w:cs="Arial"/>
          <w:b/>
          <w:sz w:val="28"/>
          <w:szCs w:val="28"/>
        </w:rPr>
        <w:t>(</w:t>
      </w:r>
      <w:r w:rsidRPr="00A83524">
        <w:rPr>
          <w:rFonts w:cs="Arial"/>
          <w:b/>
          <w:sz w:val="28"/>
          <w:szCs w:val="28"/>
        </w:rPr>
        <w:t xml:space="preserve">UNBR) adresată Consiliului UNBR </w:t>
      </w:r>
    </w:p>
    <w:p w14:paraId="553BC5CA" w14:textId="77777777" w:rsidR="004E1558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 xml:space="preserve">privind </w:t>
      </w:r>
      <w:r w:rsidR="00A83524">
        <w:rPr>
          <w:rFonts w:cs="Arial"/>
          <w:b/>
          <w:sz w:val="28"/>
          <w:szCs w:val="28"/>
        </w:rPr>
        <w:t>ș</w:t>
      </w:r>
      <w:r w:rsidRPr="00A83524">
        <w:rPr>
          <w:rFonts w:cs="Arial"/>
          <w:b/>
          <w:sz w:val="28"/>
          <w:szCs w:val="28"/>
        </w:rPr>
        <w:t xml:space="preserve">edința Comisiei Permanente din </w:t>
      </w:r>
      <w:r w:rsidR="00F708E8" w:rsidRPr="00A83524">
        <w:rPr>
          <w:rFonts w:cs="Arial"/>
          <w:b/>
          <w:sz w:val="28"/>
          <w:szCs w:val="28"/>
        </w:rPr>
        <w:t>01.02.2019</w:t>
      </w:r>
    </w:p>
    <w:p w14:paraId="711FC9FF" w14:textId="77777777" w:rsidR="004E1558" w:rsidRPr="00A83524" w:rsidRDefault="004E1558" w:rsidP="00164773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cs="Arial"/>
          <w:b/>
        </w:rPr>
      </w:pPr>
    </w:p>
    <w:p w14:paraId="5B22E7E2" w14:textId="77777777" w:rsidR="00F01E0C" w:rsidRPr="00A83524" w:rsidRDefault="00F01E0C" w:rsidP="00F01E0C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 xml:space="preserve">În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edința Comisiei Permanente din 01.02.2019, au fost invitați reprezentanți ai următoarelor autorități/instituții/profesii juridice: Înalta </w:t>
      </w:r>
      <w:r w:rsidR="00CB58C9" w:rsidRPr="00A83524">
        <w:rPr>
          <w:rFonts w:cs="Arial"/>
        </w:rPr>
        <w:t>C</w:t>
      </w:r>
      <w:r w:rsidRPr="00A83524">
        <w:rPr>
          <w:rFonts w:cs="Arial"/>
        </w:rPr>
        <w:t xml:space="preserve">urte de Casație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</w:t>
      </w:r>
      <w:r w:rsidR="00CB58C9" w:rsidRPr="00A83524">
        <w:rPr>
          <w:rFonts w:cs="Arial"/>
        </w:rPr>
        <w:t>J</w:t>
      </w:r>
      <w:r w:rsidRPr="00A83524">
        <w:rPr>
          <w:rFonts w:cs="Arial"/>
        </w:rPr>
        <w:t xml:space="preserve">ustiție (ICCJ), </w:t>
      </w:r>
      <w:r w:rsidR="00CB58C9" w:rsidRPr="00A83524">
        <w:rPr>
          <w:rFonts w:cs="Arial"/>
        </w:rPr>
        <w:t>C</w:t>
      </w:r>
      <w:r w:rsidRPr="00A83524">
        <w:rPr>
          <w:rFonts w:cs="Arial"/>
        </w:rPr>
        <w:t xml:space="preserve">onsiliul </w:t>
      </w:r>
      <w:r w:rsidR="00CB58C9" w:rsidRPr="00A83524">
        <w:rPr>
          <w:rFonts w:cs="Arial"/>
        </w:rPr>
        <w:t>S</w:t>
      </w:r>
      <w:r w:rsidRPr="00A83524">
        <w:rPr>
          <w:rFonts w:cs="Arial"/>
        </w:rPr>
        <w:t>uperior al Magistraturii (CSM), Ministerul justiției, Ministerului Public, Institutului Național al Magistraturii (INM), Uniunea Națională a Notarilor Publici din România (UNNPR), Uniunea Națională a Executorilor Judecătore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ti (UNEJ)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Uniunea </w:t>
      </w:r>
      <w:r w:rsidR="00CB58C9" w:rsidRPr="00A83524">
        <w:rPr>
          <w:rFonts w:cs="Arial"/>
        </w:rPr>
        <w:t>N</w:t>
      </w:r>
      <w:r w:rsidRPr="00A83524">
        <w:rPr>
          <w:rFonts w:cs="Arial"/>
        </w:rPr>
        <w:t xml:space="preserve">ațională a Practicienilor în Insolvență din România (UNPIR), precum </w:t>
      </w:r>
      <w:r w:rsidR="00A83524">
        <w:rPr>
          <w:rFonts w:cs="Arial"/>
        </w:rPr>
        <w:t>ș</w:t>
      </w:r>
      <w:r w:rsidRPr="00A83524">
        <w:rPr>
          <w:rFonts w:cs="Arial"/>
        </w:rPr>
        <w:t>i pre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edinții </w:t>
      </w:r>
      <w:r w:rsidR="00A83524">
        <w:rPr>
          <w:rFonts w:cs="Arial"/>
        </w:rPr>
        <w:t>ș</w:t>
      </w:r>
      <w:r w:rsidRPr="00A83524">
        <w:rPr>
          <w:rFonts w:cs="Arial"/>
        </w:rPr>
        <w:t>i vicepre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edinții comisiilor juridice din cadrul Senatului României </w:t>
      </w:r>
      <w:r w:rsidR="00A83524">
        <w:rPr>
          <w:rFonts w:cs="Arial"/>
        </w:rPr>
        <w:t>ș</w:t>
      </w:r>
      <w:r w:rsidRPr="00A83524">
        <w:rPr>
          <w:rFonts w:cs="Arial"/>
        </w:rPr>
        <w:t>i Camerei Deputaților.</w:t>
      </w:r>
      <w:r w:rsidR="00AA1B90" w:rsidRPr="00A83524">
        <w:rPr>
          <w:rFonts w:cs="Arial"/>
        </w:rPr>
        <w:t xml:space="preserve"> </w:t>
      </w:r>
      <w:r w:rsidRPr="00A83524">
        <w:rPr>
          <w:rFonts w:cs="Arial"/>
        </w:rPr>
        <w:t xml:space="preserve">Au dat curs invitației </w:t>
      </w:r>
      <w:r w:rsidR="00A83524">
        <w:rPr>
          <w:rFonts w:cs="Arial"/>
        </w:rPr>
        <w:t>ș</w:t>
      </w:r>
      <w:r w:rsidRPr="00A83524">
        <w:rPr>
          <w:rFonts w:cs="Arial"/>
        </w:rPr>
        <w:t>i au fost prezenți reprezentanți ai CSM, Comisie</w:t>
      </w:r>
      <w:r w:rsidR="00AA1B90" w:rsidRPr="00A83524">
        <w:rPr>
          <w:rFonts w:cs="Arial"/>
        </w:rPr>
        <w:t>i</w:t>
      </w:r>
      <w:r w:rsidRPr="00A83524">
        <w:rPr>
          <w:rFonts w:cs="Arial"/>
        </w:rPr>
        <w:t xml:space="preserve"> Juridice, de numiri, disciplină, imunități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validări din Senatul României, INM, UNNPR, UNEJ </w:t>
      </w:r>
      <w:r w:rsidR="00A83524">
        <w:rPr>
          <w:rFonts w:cs="Arial"/>
        </w:rPr>
        <w:t>ș</w:t>
      </w:r>
      <w:r w:rsidRPr="00A83524">
        <w:rPr>
          <w:rFonts w:cs="Arial"/>
        </w:rPr>
        <w:t>i UNPIR</w:t>
      </w:r>
      <w:r w:rsidR="001E7884" w:rsidRPr="00A83524">
        <w:rPr>
          <w:rFonts w:cs="Arial"/>
        </w:rPr>
        <w:t>.</w:t>
      </w:r>
    </w:p>
    <w:p w14:paraId="6526C1F5" w14:textId="77777777" w:rsidR="001E7884" w:rsidRPr="00A83524" w:rsidRDefault="001E7884" w:rsidP="00F01E0C">
      <w:pPr>
        <w:spacing w:line="276" w:lineRule="auto"/>
        <w:ind w:firstLine="708"/>
        <w:jc w:val="both"/>
        <w:rPr>
          <w:rFonts w:cs="Arial"/>
        </w:rPr>
      </w:pPr>
    </w:p>
    <w:p w14:paraId="1AEBD3AF" w14:textId="77777777" w:rsidR="00F708E8" w:rsidRPr="00A83524" w:rsidRDefault="00A15711" w:rsidP="001A5FEB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 xml:space="preserve">1. </w:t>
      </w:r>
      <w:r w:rsidR="00F01E0C" w:rsidRPr="00A83524">
        <w:rPr>
          <w:rFonts w:cs="Arial"/>
        </w:rPr>
        <w:t xml:space="preserve">În </w:t>
      </w:r>
      <w:r w:rsidR="00AC2445" w:rsidRPr="00A83524">
        <w:rPr>
          <w:rFonts w:cs="Arial"/>
        </w:rPr>
        <w:t xml:space="preserve">cadrul </w:t>
      </w:r>
      <w:r w:rsidR="00A83524">
        <w:rPr>
          <w:rFonts w:cs="Arial"/>
        </w:rPr>
        <w:t>ș</w:t>
      </w:r>
      <w:r w:rsidR="00AC2445" w:rsidRPr="00A83524">
        <w:rPr>
          <w:rFonts w:cs="Arial"/>
        </w:rPr>
        <w:t>edinței</w:t>
      </w:r>
      <w:r w:rsidR="00F01E0C" w:rsidRPr="00A83524">
        <w:rPr>
          <w:rFonts w:cs="Arial"/>
        </w:rPr>
        <w:t xml:space="preserve"> s-au examinat, cu prioritate, punctele 2 </w:t>
      </w:r>
      <w:r w:rsidR="00A83524">
        <w:rPr>
          <w:rFonts w:cs="Arial"/>
        </w:rPr>
        <w:t>ș</w:t>
      </w:r>
      <w:r w:rsidR="00F01E0C" w:rsidRPr="00A83524">
        <w:rPr>
          <w:rFonts w:cs="Arial"/>
        </w:rPr>
        <w:t>i 3 ale ordinii de zi, respectiv :</w:t>
      </w:r>
    </w:p>
    <w:p w14:paraId="6424A7D4" w14:textId="77777777" w:rsidR="00C13284" w:rsidRPr="00A83524" w:rsidRDefault="00C13284" w:rsidP="001A5FEB">
      <w:pPr>
        <w:spacing w:line="276" w:lineRule="auto"/>
        <w:ind w:firstLine="708"/>
        <w:jc w:val="both"/>
        <w:rPr>
          <w:rFonts w:cs="Arial"/>
        </w:rPr>
      </w:pPr>
    </w:p>
    <w:p w14:paraId="6D476640" w14:textId="77777777" w:rsidR="00F708E8" w:rsidRPr="00A83524" w:rsidRDefault="00F708E8" w:rsidP="00164773">
      <w:pPr>
        <w:tabs>
          <w:tab w:val="left" w:pos="142"/>
          <w:tab w:val="left" w:pos="426"/>
        </w:tabs>
        <w:spacing w:line="276" w:lineRule="auto"/>
        <w:jc w:val="both"/>
        <w:rPr>
          <w:rFonts w:cs="Arial"/>
          <w:b/>
          <w:i/>
          <w:lang w:eastAsia="ro-RO"/>
        </w:rPr>
      </w:pPr>
      <w:r w:rsidRPr="00A83524">
        <w:rPr>
          <w:rFonts w:cs="Arial"/>
          <w:b/>
          <w:i/>
        </w:rPr>
        <w:t xml:space="preserve">2. Conlucrarea instituțională la nivel național </w:t>
      </w:r>
      <w:r w:rsidR="00A83524">
        <w:rPr>
          <w:rFonts w:cs="Arial"/>
          <w:b/>
          <w:i/>
        </w:rPr>
        <w:t>ș</w:t>
      </w:r>
      <w:r w:rsidRPr="00A83524">
        <w:rPr>
          <w:rFonts w:cs="Arial"/>
          <w:b/>
          <w:i/>
        </w:rPr>
        <w:t>i cu celelalte profesii juridice din România în 2019. Propuneri de proiecte de conlucrare.</w:t>
      </w:r>
    </w:p>
    <w:p w14:paraId="672A9737" w14:textId="77777777" w:rsidR="00F708E8" w:rsidRPr="00A83524" w:rsidRDefault="00F708E8" w:rsidP="00164773">
      <w:pPr>
        <w:tabs>
          <w:tab w:val="left" w:pos="142"/>
          <w:tab w:val="left" w:pos="426"/>
        </w:tabs>
        <w:spacing w:line="276" w:lineRule="auto"/>
        <w:jc w:val="both"/>
        <w:rPr>
          <w:rFonts w:cs="Arial"/>
          <w:b/>
          <w:i/>
          <w:lang w:eastAsia="ro-RO"/>
        </w:rPr>
      </w:pPr>
      <w:r w:rsidRPr="00A83524">
        <w:rPr>
          <w:rFonts w:cs="Arial"/>
          <w:b/>
          <w:i/>
        </w:rPr>
        <w:t>3. Priorități ale profesiei de avocat în anul 2019. Agenda profesiei</w:t>
      </w:r>
      <w:r w:rsidR="003A20ED" w:rsidRPr="00A83524">
        <w:rPr>
          <w:rFonts w:cs="Arial"/>
          <w:b/>
          <w:i/>
        </w:rPr>
        <w:t>.</w:t>
      </w:r>
    </w:p>
    <w:p w14:paraId="67F7FD75" w14:textId="77777777" w:rsidR="004E1558" w:rsidRPr="00A83524" w:rsidRDefault="004E1558" w:rsidP="00164773">
      <w:pPr>
        <w:spacing w:line="276" w:lineRule="auto"/>
        <w:ind w:firstLine="708"/>
        <w:rPr>
          <w:rFonts w:cs="Arial"/>
        </w:rPr>
      </w:pPr>
    </w:p>
    <w:p w14:paraId="2FC36199" w14:textId="77777777" w:rsidR="001A5FEB" w:rsidRPr="00A83524" w:rsidRDefault="004E1558" w:rsidP="00164773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 xml:space="preserve">Membrii Comisiei Permanente au exprimat puncte de vedere privind </w:t>
      </w:r>
      <w:r w:rsidR="00D7272C" w:rsidRPr="00A83524">
        <w:rPr>
          <w:rFonts w:cs="Arial"/>
        </w:rPr>
        <w:t>conlucrarea</w:t>
      </w:r>
      <w:r w:rsidRPr="00A83524">
        <w:rPr>
          <w:rFonts w:cs="Arial"/>
        </w:rPr>
        <w:t xml:space="preserve"> interprofesională, au făcut aprecieri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propuneri privind activitățile ce urmează a fi inițiate de Uniunea </w:t>
      </w:r>
      <w:r w:rsidR="00A83524" w:rsidRPr="00A83524">
        <w:rPr>
          <w:rFonts w:cs="Arial"/>
        </w:rPr>
        <w:t>Națională</w:t>
      </w:r>
      <w:r w:rsidRPr="00A83524">
        <w:rPr>
          <w:rFonts w:cs="Arial"/>
        </w:rPr>
        <w:t xml:space="preserve"> a Barourilor din România în 201</w:t>
      </w:r>
      <w:r w:rsidR="00F708E8" w:rsidRPr="00A83524">
        <w:rPr>
          <w:rFonts w:cs="Arial"/>
        </w:rPr>
        <w:t>9</w:t>
      </w:r>
      <w:r w:rsidRPr="00A83524">
        <w:rPr>
          <w:rFonts w:cs="Arial"/>
        </w:rPr>
        <w:t xml:space="preserve">, activități care implică conlucrarea cu autorități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instituții publice organizate la nivel național. </w:t>
      </w:r>
    </w:p>
    <w:p w14:paraId="71C464D2" w14:textId="77777777" w:rsidR="00830B90" w:rsidRDefault="00830B90" w:rsidP="00164773">
      <w:pPr>
        <w:spacing w:line="276" w:lineRule="auto"/>
        <w:ind w:firstLine="708"/>
        <w:jc w:val="both"/>
        <w:rPr>
          <w:rFonts w:cs="Arial"/>
        </w:rPr>
      </w:pPr>
    </w:p>
    <w:p w14:paraId="64EB80B0" w14:textId="43A02551" w:rsidR="00C13284" w:rsidRPr="00A83524" w:rsidRDefault="004E1558" w:rsidP="00164773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>S-au examinat următoarele proiecte :</w:t>
      </w:r>
    </w:p>
    <w:p w14:paraId="39B4D5E0" w14:textId="77777777" w:rsidR="00DA5F13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4E1558" w:rsidRPr="00A83524">
        <w:rPr>
          <w:rFonts w:cs="Arial"/>
        </w:rPr>
        <w:t>a)</w:t>
      </w:r>
      <w:r>
        <w:rPr>
          <w:rFonts w:cs="Arial"/>
        </w:rPr>
        <w:t xml:space="preserve"> </w:t>
      </w:r>
      <w:r w:rsidR="00D7272C" w:rsidRPr="00A83524">
        <w:rPr>
          <w:rFonts w:cs="Arial"/>
        </w:rPr>
        <w:t>C</w:t>
      </w:r>
      <w:r w:rsidR="004E1558" w:rsidRPr="00A83524">
        <w:rPr>
          <w:rFonts w:cs="Arial"/>
        </w:rPr>
        <w:t xml:space="preserve">onlucrarea </w:t>
      </w:r>
      <w:r w:rsidR="00D7272C" w:rsidRPr="00A83524">
        <w:rPr>
          <w:rFonts w:cs="Arial"/>
        </w:rPr>
        <w:t>instituțională</w:t>
      </w:r>
      <w:r w:rsidR="004E1558" w:rsidRPr="00A83524">
        <w:rPr>
          <w:rFonts w:cs="Arial"/>
        </w:rPr>
        <w:t xml:space="preserve"> cu judecătorii</w:t>
      </w:r>
      <w:r w:rsidR="00DA5F13" w:rsidRPr="00A83524">
        <w:rPr>
          <w:rFonts w:cs="Arial"/>
        </w:rPr>
        <w:t>:</w:t>
      </w:r>
    </w:p>
    <w:p w14:paraId="697DC877" w14:textId="77777777" w:rsidR="003B2E18" w:rsidRPr="00A83524" w:rsidRDefault="00DA5F13" w:rsidP="00164773">
      <w:pPr>
        <w:spacing w:line="276" w:lineRule="auto"/>
        <w:ind w:firstLine="851"/>
        <w:jc w:val="both"/>
        <w:rPr>
          <w:rFonts w:cs="Arial"/>
        </w:rPr>
      </w:pPr>
      <w:r w:rsidRPr="00A83524">
        <w:rPr>
          <w:rFonts w:cs="Arial"/>
        </w:rPr>
        <w:t xml:space="preserve">- </w:t>
      </w:r>
      <w:r w:rsidR="00827F69" w:rsidRPr="00A83524">
        <w:rPr>
          <w:rFonts w:cs="Arial"/>
        </w:rPr>
        <w:t xml:space="preserve">elaborarea unor ghiduri de bune practici asumate bilateral în cadrul </w:t>
      </w:r>
      <w:r w:rsidR="00DA2971" w:rsidRPr="00A83524">
        <w:rPr>
          <w:rFonts w:cs="Arial"/>
        </w:rPr>
        <w:t>Proiectului POCA</w:t>
      </w:r>
      <w:r w:rsidR="003B2E18" w:rsidRPr="00A83524">
        <w:rPr>
          <w:rFonts w:cs="Arial"/>
        </w:rPr>
        <w:t xml:space="preserve"> (Programul Operațional Capacitate Administrativă</w:t>
      </w:r>
      <w:r w:rsidR="003B2E18" w:rsidRPr="00A83524">
        <w:rPr>
          <w:rFonts w:cs="Arial"/>
          <w:caps/>
        </w:rPr>
        <w:t>)</w:t>
      </w:r>
      <w:r w:rsidR="00DA2971" w:rsidRPr="00A83524">
        <w:rPr>
          <w:rFonts w:cs="Arial"/>
        </w:rPr>
        <w:t xml:space="preserve"> „Transparență, accesibilitate </w:t>
      </w:r>
      <w:r w:rsidR="00A83524">
        <w:rPr>
          <w:rFonts w:cs="Arial"/>
        </w:rPr>
        <w:t>ș</w:t>
      </w:r>
      <w:r w:rsidR="00DA2971" w:rsidRPr="00A83524">
        <w:rPr>
          <w:rFonts w:cs="Arial"/>
        </w:rPr>
        <w:t>i educație juridică prin îmbunătățirea comunicării publice la nivelul sistemului judiciar”</w:t>
      </w:r>
      <w:r w:rsidR="003B2E18" w:rsidRPr="00A83524">
        <w:rPr>
          <w:rFonts w:cs="Arial"/>
        </w:rPr>
        <w:t xml:space="preserve"> în ce</w:t>
      </w:r>
      <w:r w:rsidR="00827F69" w:rsidRPr="00A83524">
        <w:rPr>
          <w:rFonts w:cs="Arial"/>
        </w:rPr>
        <w:t xml:space="preserve"> prive</w:t>
      </w:r>
      <w:r w:rsidR="00A83524">
        <w:rPr>
          <w:rFonts w:cs="Arial"/>
        </w:rPr>
        <w:t>ș</w:t>
      </w:r>
      <w:r w:rsidR="00827F69" w:rsidRPr="00A83524">
        <w:rPr>
          <w:rFonts w:cs="Arial"/>
        </w:rPr>
        <w:t>te</w:t>
      </w:r>
      <w:r w:rsidR="003B2E18" w:rsidRPr="00A83524">
        <w:rPr>
          <w:rFonts w:cs="Arial"/>
        </w:rPr>
        <w:t xml:space="preserve"> transparentizarea </w:t>
      </w:r>
      <w:r w:rsidR="00A83524">
        <w:rPr>
          <w:rFonts w:cs="Arial"/>
        </w:rPr>
        <w:t>ș</w:t>
      </w:r>
      <w:r w:rsidR="003B2E18" w:rsidRPr="00A83524">
        <w:rPr>
          <w:rFonts w:cs="Arial"/>
        </w:rPr>
        <w:t xml:space="preserve">i clarificarea relaționării sistemului judiciar cu puterea executivă </w:t>
      </w:r>
      <w:r w:rsidR="00A83524">
        <w:rPr>
          <w:rFonts w:cs="Arial"/>
        </w:rPr>
        <w:t>ș</w:t>
      </w:r>
      <w:r w:rsidR="003B2E18" w:rsidRPr="00A83524">
        <w:rPr>
          <w:rFonts w:cs="Arial"/>
        </w:rPr>
        <w:t>i legislativă</w:t>
      </w:r>
      <w:r w:rsidR="00827F69" w:rsidRPr="00A83524">
        <w:rPr>
          <w:rFonts w:cs="Arial"/>
        </w:rPr>
        <w:t xml:space="preserve"> </w:t>
      </w:r>
      <w:r w:rsidR="003B2E18" w:rsidRPr="00A83524">
        <w:rPr>
          <w:rFonts w:cs="Arial"/>
        </w:rPr>
        <w:t xml:space="preserve">- inclusiv din perspectiva recomandării Comisiei Europene în sensul asigurării unor premise clare privind </w:t>
      </w:r>
      <w:r w:rsidR="003B2E18" w:rsidRPr="00A83524">
        <w:rPr>
          <w:rFonts w:cs="Arial"/>
        </w:rPr>
        <w:lastRenderedPageBreak/>
        <w:t xml:space="preserve">respectul reciproc între instituții </w:t>
      </w:r>
      <w:r w:rsidR="00A83524">
        <w:rPr>
          <w:rFonts w:cs="Arial"/>
        </w:rPr>
        <w:t>ș</w:t>
      </w:r>
      <w:r w:rsidR="003B2E18" w:rsidRPr="00A83524">
        <w:rPr>
          <w:rFonts w:cs="Arial"/>
        </w:rPr>
        <w:t>i respectarea independenței sistemului judiciar, cu mass-media, cu celelalte profesii juridice (în special avocați)</w:t>
      </w:r>
      <w:r w:rsidR="00827F69" w:rsidRPr="00A83524">
        <w:rPr>
          <w:rFonts w:cs="Arial"/>
        </w:rPr>
        <w:t>;</w:t>
      </w:r>
    </w:p>
    <w:p w14:paraId="1980721F" w14:textId="77777777" w:rsidR="00A1005C" w:rsidRPr="00A83524" w:rsidRDefault="00DA5F13" w:rsidP="00164773">
      <w:pPr>
        <w:spacing w:line="276" w:lineRule="auto"/>
        <w:ind w:firstLine="851"/>
        <w:jc w:val="both"/>
        <w:rPr>
          <w:rFonts w:cs="Arial"/>
        </w:rPr>
      </w:pPr>
      <w:r w:rsidRPr="00A83524">
        <w:rPr>
          <w:rFonts w:cs="Arial"/>
        </w:rPr>
        <w:t xml:space="preserve">- </w:t>
      </w:r>
      <w:r w:rsidR="00827F69" w:rsidRPr="00A83524">
        <w:rPr>
          <w:rFonts w:cs="Arial"/>
        </w:rPr>
        <w:t xml:space="preserve">invitația de a </w:t>
      </w:r>
      <w:r w:rsidRPr="00A83524">
        <w:rPr>
          <w:rFonts w:cs="Arial"/>
        </w:rPr>
        <w:t xml:space="preserve">participa la proiectele ce </w:t>
      </w:r>
      <w:r w:rsidR="00A971CA" w:rsidRPr="00A83524">
        <w:rPr>
          <w:rFonts w:cs="Arial"/>
        </w:rPr>
        <w:t xml:space="preserve">vor fi </w:t>
      </w:r>
      <w:r w:rsidRPr="00A83524">
        <w:rPr>
          <w:rFonts w:cs="Arial"/>
        </w:rPr>
        <w:t>demarate de CSM privind cre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terea eficienței în sistemul judiciar (identificarea cauzelor </w:t>
      </w:r>
      <w:r w:rsidR="00A83524">
        <w:rPr>
          <w:rFonts w:cs="Arial"/>
        </w:rPr>
        <w:t>ș</w:t>
      </w:r>
      <w:r w:rsidRPr="00A83524">
        <w:rPr>
          <w:rFonts w:cs="Arial"/>
        </w:rPr>
        <w:t>i motivelor care duc la inflație de dosare pe rolul instanțelor, remedierea deficiențelor de reglementare</w:t>
      </w:r>
      <w:r w:rsidR="00A971CA" w:rsidRPr="00A83524">
        <w:rPr>
          <w:rFonts w:cs="Arial"/>
        </w:rPr>
        <w:t xml:space="preserve">, introducerea „cauzelor pilot” </w:t>
      </w:r>
      <w:r w:rsidR="00A83524">
        <w:rPr>
          <w:rFonts w:cs="Arial"/>
        </w:rPr>
        <w:t>ș</w:t>
      </w:r>
      <w:r w:rsidR="00A971CA" w:rsidRPr="00A83524">
        <w:rPr>
          <w:rFonts w:cs="Arial"/>
        </w:rPr>
        <w:t xml:space="preserve">i a „mecanismelor de filtru” </w:t>
      </w:r>
      <w:r w:rsidR="00A83524">
        <w:rPr>
          <w:rFonts w:cs="Arial"/>
        </w:rPr>
        <w:t>ș</w:t>
      </w:r>
      <w:r w:rsidR="00A971CA" w:rsidRPr="00A83524">
        <w:rPr>
          <w:rFonts w:cs="Arial"/>
        </w:rPr>
        <w:t>i rolul avocaților la acestea);</w:t>
      </w:r>
    </w:p>
    <w:p w14:paraId="6FA6D086" w14:textId="77777777" w:rsidR="00DA2971" w:rsidRPr="00A83524" w:rsidRDefault="00A971CA" w:rsidP="00164773">
      <w:pPr>
        <w:spacing w:line="276" w:lineRule="auto"/>
        <w:ind w:firstLine="851"/>
        <w:jc w:val="both"/>
        <w:rPr>
          <w:rFonts w:cs="Arial"/>
        </w:rPr>
      </w:pPr>
      <w:r w:rsidRPr="00A83524">
        <w:rPr>
          <w:rFonts w:cs="Arial"/>
        </w:rPr>
        <w:t>- necesitatea cre</w:t>
      </w:r>
      <w:r w:rsidR="00A83524">
        <w:rPr>
          <w:rFonts w:cs="Arial"/>
        </w:rPr>
        <w:t>ș</w:t>
      </w:r>
      <w:r w:rsidRPr="00A83524">
        <w:rPr>
          <w:rFonts w:cs="Arial"/>
        </w:rPr>
        <w:t>terii calității asistenței judiciare din oficiu, în paralel cu cre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terea remunerației asigurate </w:t>
      </w:r>
      <w:r w:rsidR="005300E8" w:rsidRPr="00A83524">
        <w:rPr>
          <w:rFonts w:cs="Arial"/>
        </w:rPr>
        <w:t>d</w:t>
      </w:r>
      <w:r w:rsidRPr="00A83524">
        <w:rPr>
          <w:rFonts w:cs="Arial"/>
        </w:rPr>
        <w:t xml:space="preserve">e stat pentru această activitate, care trebuie să facă obiectul unor discuții între reprezentanții magistraților, avocaților </w:t>
      </w:r>
      <w:r w:rsidR="00A83524">
        <w:rPr>
          <w:rFonts w:cs="Arial"/>
        </w:rPr>
        <w:t>ș</w:t>
      </w:r>
      <w:r w:rsidRPr="00A83524">
        <w:rPr>
          <w:rFonts w:cs="Arial"/>
        </w:rPr>
        <w:t>i Ministerului Justiției</w:t>
      </w:r>
      <w:r w:rsidR="00732A3D" w:rsidRPr="00A83524">
        <w:rPr>
          <w:rFonts w:cs="Arial"/>
        </w:rPr>
        <w:t>;</w:t>
      </w:r>
    </w:p>
    <w:p w14:paraId="6D9A8689" w14:textId="77777777" w:rsidR="00827F69" w:rsidRPr="00A83524" w:rsidRDefault="00827F69" w:rsidP="00164773">
      <w:pPr>
        <w:spacing w:line="276" w:lineRule="auto"/>
        <w:ind w:firstLine="851"/>
        <w:jc w:val="both"/>
        <w:rPr>
          <w:rFonts w:cs="Arial"/>
        </w:rPr>
      </w:pPr>
      <w:r w:rsidRPr="00A83524">
        <w:rPr>
          <w:rFonts w:cs="Arial"/>
        </w:rPr>
        <w:t>- adâncirea cooperării între profesi</w:t>
      </w:r>
      <w:r w:rsidR="00FB00AF" w:rsidRPr="00A83524">
        <w:rPr>
          <w:rFonts w:cs="Arial"/>
        </w:rPr>
        <w:t>i</w:t>
      </w:r>
      <w:r w:rsidRPr="00A83524">
        <w:rPr>
          <w:rFonts w:cs="Arial"/>
        </w:rPr>
        <w:t xml:space="preserve"> prin remiterea nominală către CSM a nemulțumirilor legate de activitatea unor magistrați;</w:t>
      </w:r>
    </w:p>
    <w:p w14:paraId="5C28184D" w14:textId="77777777" w:rsidR="004E1558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4E1558" w:rsidRPr="00A83524">
        <w:rPr>
          <w:rFonts w:cs="Arial"/>
        </w:rPr>
        <w:t xml:space="preserve">b) Implicarea avocaților în procedura de dezbatere publică a proiectelor legislative care vizează apărarea drepturilor fundamentale ale cetățenilor, apărarea prin avocat în concordanță cu prevederile Legii nr. 51/1995, pentru organizarea </w:t>
      </w:r>
      <w:r>
        <w:rPr>
          <w:rFonts w:cs="Arial"/>
        </w:rPr>
        <w:t>ș</w:t>
      </w:r>
      <w:r w:rsidR="004E1558" w:rsidRPr="00A83524">
        <w:rPr>
          <w:rFonts w:cs="Arial"/>
        </w:rPr>
        <w:t>i exercitarea profesiei de avocat</w:t>
      </w:r>
      <w:r w:rsidR="00732A3D" w:rsidRPr="00A83524">
        <w:rPr>
          <w:rFonts w:cs="Arial"/>
        </w:rPr>
        <w:t>;</w:t>
      </w:r>
    </w:p>
    <w:p w14:paraId="0939166C" w14:textId="77777777" w:rsidR="00000139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6235B7" w:rsidRPr="00A83524">
        <w:rPr>
          <w:rFonts w:cs="Arial"/>
        </w:rPr>
        <w:t>c)</w:t>
      </w:r>
      <w:r w:rsidR="00A971CA" w:rsidRPr="00A83524">
        <w:rPr>
          <w:rFonts w:cs="Arial"/>
        </w:rPr>
        <w:t xml:space="preserve"> reiterarea proiectului</w:t>
      </w:r>
      <w:r w:rsidR="00454C6B" w:rsidRPr="00A83524">
        <w:rPr>
          <w:rFonts w:cs="Arial"/>
        </w:rPr>
        <w:t xml:space="preserve">, </w:t>
      </w:r>
      <w:r w:rsidR="00A971CA" w:rsidRPr="00A83524">
        <w:rPr>
          <w:rFonts w:cs="Arial"/>
        </w:rPr>
        <w:t>care nu a reu</w:t>
      </w:r>
      <w:r>
        <w:rPr>
          <w:rFonts w:cs="Arial"/>
        </w:rPr>
        <w:t>ș</w:t>
      </w:r>
      <w:r w:rsidR="00A971CA" w:rsidRPr="00A83524">
        <w:rPr>
          <w:rFonts w:cs="Arial"/>
        </w:rPr>
        <w:t>it în 2018</w:t>
      </w:r>
      <w:r w:rsidR="00454C6B" w:rsidRPr="00A83524">
        <w:rPr>
          <w:rFonts w:cs="Arial"/>
        </w:rPr>
        <w:t>,</w:t>
      </w:r>
      <w:r w:rsidR="00A971CA" w:rsidRPr="00A83524">
        <w:rPr>
          <w:rFonts w:cs="Arial"/>
        </w:rPr>
        <w:t xml:space="preserve"> privind</w:t>
      </w:r>
      <w:r w:rsidR="00000139" w:rsidRPr="00A83524">
        <w:rPr>
          <w:rFonts w:cs="Arial"/>
        </w:rPr>
        <w:t xml:space="preserve"> </w:t>
      </w:r>
      <w:r w:rsidR="00210D37" w:rsidRPr="00A83524">
        <w:rPr>
          <w:rFonts w:cs="Arial"/>
        </w:rPr>
        <w:t>organiz</w:t>
      </w:r>
      <w:r w:rsidR="00A971CA" w:rsidRPr="00A83524">
        <w:rPr>
          <w:rFonts w:cs="Arial"/>
        </w:rPr>
        <w:t xml:space="preserve">area </w:t>
      </w:r>
      <w:r w:rsidR="004E1558" w:rsidRPr="00A83524">
        <w:rPr>
          <w:rFonts w:cs="Arial"/>
        </w:rPr>
        <w:t>unui eveniment național (conferință, sesiune festivă de comunicări</w:t>
      </w:r>
      <w:r w:rsidR="00000139" w:rsidRPr="00A83524">
        <w:rPr>
          <w:rFonts w:cs="Arial"/>
        </w:rPr>
        <w:t>, masa rotundă, evoc</w:t>
      </w:r>
      <w:r w:rsidR="00210D37" w:rsidRPr="00A83524">
        <w:rPr>
          <w:rFonts w:cs="Arial"/>
        </w:rPr>
        <w:t>ă</w:t>
      </w:r>
      <w:r w:rsidR="00000139" w:rsidRPr="00A83524">
        <w:rPr>
          <w:rFonts w:cs="Arial"/>
        </w:rPr>
        <w:t xml:space="preserve">ri </w:t>
      </w:r>
      <w:r w:rsidR="004E1558" w:rsidRPr="00A83524">
        <w:rPr>
          <w:rFonts w:cs="Arial"/>
        </w:rPr>
        <w:t>etc),</w:t>
      </w:r>
      <w:r w:rsidR="00210D37" w:rsidRPr="00A83524">
        <w:rPr>
          <w:rFonts w:cs="Arial"/>
        </w:rPr>
        <w:t xml:space="preserve"> </w:t>
      </w:r>
      <w:r w:rsidR="00000139" w:rsidRPr="00A83524">
        <w:rPr>
          <w:rFonts w:cs="Arial"/>
        </w:rPr>
        <w:t xml:space="preserve">distinctă de activitatea organelor profesiei de avocat, </w:t>
      </w:r>
      <w:r w:rsidR="004E1558" w:rsidRPr="00A83524">
        <w:rPr>
          <w:rFonts w:cs="Arial"/>
        </w:rPr>
        <w:t>împreună cu Baroul Bucure</w:t>
      </w:r>
      <w:r>
        <w:rPr>
          <w:rFonts w:cs="Arial"/>
        </w:rPr>
        <w:t>ș</w:t>
      </w:r>
      <w:r w:rsidR="004E1558" w:rsidRPr="00A83524">
        <w:rPr>
          <w:rFonts w:cs="Arial"/>
        </w:rPr>
        <w:t xml:space="preserve">ti, Institutul Național de Pregătire </w:t>
      </w:r>
      <w:r>
        <w:rPr>
          <w:rFonts w:cs="Arial"/>
        </w:rPr>
        <w:t>ș</w:t>
      </w:r>
      <w:r w:rsidR="004E1558" w:rsidRPr="00A83524">
        <w:rPr>
          <w:rFonts w:cs="Arial"/>
        </w:rPr>
        <w:t>i Perfecționare a Avocaților (INPPA), Uniunea Juri</w:t>
      </w:r>
      <w:r>
        <w:rPr>
          <w:rFonts w:cs="Arial"/>
        </w:rPr>
        <w:t>ș</w:t>
      </w:r>
      <w:r w:rsidR="004E1558" w:rsidRPr="00A83524">
        <w:rPr>
          <w:rFonts w:cs="Arial"/>
        </w:rPr>
        <w:t>tilor, Uniunea Națională a Notarilor Publici din Bucure</w:t>
      </w:r>
      <w:r>
        <w:rPr>
          <w:rFonts w:cs="Arial"/>
        </w:rPr>
        <w:t>ș</w:t>
      </w:r>
      <w:r w:rsidR="004E1558" w:rsidRPr="00A83524">
        <w:rPr>
          <w:rFonts w:cs="Arial"/>
        </w:rPr>
        <w:t>ti (UNNPR), Uniunea Națională a Executorilor Judecătore</w:t>
      </w:r>
      <w:r>
        <w:rPr>
          <w:rFonts w:cs="Arial"/>
        </w:rPr>
        <w:t>ș</w:t>
      </w:r>
      <w:r w:rsidR="004E1558" w:rsidRPr="00A83524">
        <w:rPr>
          <w:rFonts w:cs="Arial"/>
        </w:rPr>
        <w:t>ti (UNEJ)</w:t>
      </w:r>
      <w:r w:rsidR="00000139" w:rsidRPr="00A83524">
        <w:rPr>
          <w:rFonts w:cs="Arial"/>
        </w:rPr>
        <w:t xml:space="preserve">, Uniunea </w:t>
      </w:r>
      <w:r w:rsidRPr="00A83524">
        <w:rPr>
          <w:rFonts w:cs="Arial"/>
        </w:rPr>
        <w:t>Națională</w:t>
      </w:r>
      <w:r w:rsidR="00000139" w:rsidRPr="00A83524">
        <w:rPr>
          <w:rFonts w:cs="Arial"/>
        </w:rPr>
        <w:t xml:space="preserve"> a Practicienilor </w:t>
      </w:r>
      <w:r w:rsidR="00210D37" w:rsidRPr="00A83524">
        <w:rPr>
          <w:rFonts w:cs="Arial"/>
        </w:rPr>
        <w:t>î</w:t>
      </w:r>
      <w:r w:rsidR="00000139" w:rsidRPr="00A83524">
        <w:rPr>
          <w:rFonts w:cs="Arial"/>
        </w:rPr>
        <w:t>n Insolventa</w:t>
      </w:r>
      <w:r w:rsidR="00210D37" w:rsidRPr="00A83524">
        <w:rPr>
          <w:rFonts w:cs="Arial"/>
        </w:rPr>
        <w:t xml:space="preserve"> </w:t>
      </w:r>
      <w:r w:rsidR="00000139" w:rsidRPr="00A83524">
        <w:rPr>
          <w:rFonts w:cs="Arial"/>
        </w:rPr>
        <w:t>(UNPIR)</w:t>
      </w:r>
      <w:r w:rsidR="00732A3D" w:rsidRPr="00A83524">
        <w:rPr>
          <w:rFonts w:cs="Arial"/>
        </w:rPr>
        <w:t>;</w:t>
      </w:r>
    </w:p>
    <w:p w14:paraId="6E1DD58B" w14:textId="77777777" w:rsidR="00732A3D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615A65" w:rsidRPr="00A83524">
        <w:rPr>
          <w:rFonts w:cs="Arial"/>
        </w:rPr>
        <w:t>d</w:t>
      </w:r>
      <w:r w:rsidR="00732A3D" w:rsidRPr="00A83524">
        <w:rPr>
          <w:rFonts w:cs="Arial"/>
        </w:rPr>
        <w:t>) continuarea pregătirii profesionale continue interprofesionale (avocați, notari, practicieni în insolvență);</w:t>
      </w:r>
    </w:p>
    <w:p w14:paraId="09962B10" w14:textId="77777777" w:rsidR="00615A65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615A65" w:rsidRPr="00A83524">
        <w:rPr>
          <w:rFonts w:cs="Arial"/>
        </w:rPr>
        <w:t>e</w:t>
      </w:r>
      <w:r w:rsidR="00732A3D" w:rsidRPr="00A83524">
        <w:rPr>
          <w:rFonts w:cs="Arial"/>
        </w:rPr>
        <w:t xml:space="preserve">) reiterarea necesității implementării instituției juridice a </w:t>
      </w:r>
      <w:r w:rsidR="00615A65" w:rsidRPr="00A83524">
        <w:rPr>
          <w:rFonts w:cs="Arial"/>
        </w:rPr>
        <w:t>„avocatului de familie”;</w:t>
      </w:r>
    </w:p>
    <w:p w14:paraId="60FEB823" w14:textId="77777777" w:rsidR="00732A3D" w:rsidRPr="00A83524" w:rsidRDefault="00615A65" w:rsidP="00164773">
      <w:p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 xml:space="preserve">Domnul Cătălin Daniel </w:t>
      </w:r>
      <w:proofErr w:type="spellStart"/>
      <w:r w:rsidRPr="00A83524">
        <w:rPr>
          <w:rFonts w:cs="Arial"/>
        </w:rPr>
        <w:t>Fenechiu</w:t>
      </w:r>
      <w:proofErr w:type="spellEnd"/>
      <w:r w:rsidRPr="00A83524">
        <w:rPr>
          <w:rFonts w:cs="Arial"/>
        </w:rPr>
        <w:t>, vicepre</w:t>
      </w:r>
      <w:r w:rsidR="00A83524">
        <w:rPr>
          <w:rFonts w:cs="Arial"/>
        </w:rPr>
        <w:t>ș</w:t>
      </w:r>
      <w:r w:rsidRPr="00A83524">
        <w:rPr>
          <w:rFonts w:cs="Arial"/>
        </w:rPr>
        <w:t>edinte al Comisiei Juridice a Senatului României, a informat Comisia Permanentă că, în perioada imediat următoare, Comisia pentru cercetarea abuzurilor,</w:t>
      </w:r>
      <w:r w:rsidR="00051CAE" w:rsidRPr="00A83524">
        <w:rPr>
          <w:rFonts w:cs="Arial"/>
        </w:rPr>
        <w:t xml:space="preserve"> </w:t>
      </w:r>
      <w:r w:rsidRPr="00A83524">
        <w:rPr>
          <w:rFonts w:cs="Arial"/>
        </w:rPr>
        <w:t xml:space="preserve">combaterea corupției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petiții din cadrul Senatului României, în colaborare cu Comisia juridică, de numiri, disciplină, </w:t>
      </w:r>
      <w:r w:rsidR="0078239C" w:rsidRPr="00A83524">
        <w:rPr>
          <w:rFonts w:cs="Arial"/>
        </w:rPr>
        <w:t>imunități</w:t>
      </w:r>
      <w:r w:rsidRPr="00A83524">
        <w:rPr>
          <w:rFonts w:cs="Arial"/>
        </w:rPr>
        <w:t xml:space="preserve">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validări va organiza audieri privind petiții ale barourilor având ca obiect: Protocolul privind stabilirea onorariilor </w:t>
      </w:r>
      <w:r w:rsidR="0078239C" w:rsidRPr="00A83524">
        <w:rPr>
          <w:rFonts w:cs="Arial"/>
        </w:rPr>
        <w:t>avocaților</w:t>
      </w:r>
      <w:r w:rsidRPr="00A83524">
        <w:rPr>
          <w:rFonts w:cs="Arial"/>
        </w:rPr>
        <w:t xml:space="preserve"> pentru furnizarea serviciilor de </w:t>
      </w:r>
      <w:r w:rsidR="0078239C" w:rsidRPr="00A83524">
        <w:rPr>
          <w:rFonts w:cs="Arial"/>
        </w:rPr>
        <w:t>asistență</w:t>
      </w:r>
      <w:r w:rsidRPr="00A83524">
        <w:rPr>
          <w:rFonts w:cs="Arial"/>
        </w:rPr>
        <w:t xml:space="preserve"> juridică în materie penală, pentru prestarea, în cadrul sistemului de ajutor public judiciar, a serviciilor de </w:t>
      </w:r>
      <w:r w:rsidR="0078239C" w:rsidRPr="00A83524">
        <w:rPr>
          <w:rFonts w:cs="Arial"/>
        </w:rPr>
        <w:t>asistență</w:t>
      </w:r>
      <w:r w:rsidRPr="00A83524">
        <w:rPr>
          <w:rFonts w:cs="Arial"/>
        </w:rPr>
        <w:t xml:space="preserve"> juridică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i/sau reprezentare ori de </w:t>
      </w:r>
      <w:r w:rsidR="0078239C" w:rsidRPr="00A83524">
        <w:rPr>
          <w:rFonts w:cs="Arial"/>
        </w:rPr>
        <w:t>asistență</w:t>
      </w:r>
      <w:r w:rsidRPr="00A83524">
        <w:rPr>
          <w:rFonts w:cs="Arial"/>
        </w:rPr>
        <w:t xml:space="preserve"> extrajudiciară, precum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pentru asigurarea serviciilor de </w:t>
      </w:r>
      <w:r w:rsidR="0078239C" w:rsidRPr="00A83524">
        <w:rPr>
          <w:rFonts w:cs="Arial"/>
        </w:rPr>
        <w:t>asistență</w:t>
      </w:r>
      <w:r w:rsidRPr="00A83524">
        <w:rPr>
          <w:rFonts w:cs="Arial"/>
        </w:rPr>
        <w:t xml:space="preserve"> juridică privind accesul </w:t>
      </w:r>
      <w:r w:rsidR="0078239C" w:rsidRPr="00A83524">
        <w:rPr>
          <w:rFonts w:cs="Arial"/>
        </w:rPr>
        <w:t>internațional</w:t>
      </w:r>
      <w:r w:rsidRPr="00A83524">
        <w:rPr>
          <w:rFonts w:cs="Arial"/>
        </w:rPr>
        <w:t xml:space="preserve"> la </w:t>
      </w:r>
      <w:r w:rsidR="0078239C" w:rsidRPr="00A83524">
        <w:rPr>
          <w:rFonts w:cs="Arial"/>
        </w:rPr>
        <w:t>justiție</w:t>
      </w:r>
      <w:r w:rsidRPr="00A83524">
        <w:rPr>
          <w:rFonts w:cs="Arial"/>
        </w:rPr>
        <w:t xml:space="preserve"> în materie civilă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cooperarea judiciară </w:t>
      </w:r>
      <w:r w:rsidR="0078239C" w:rsidRPr="00A83524">
        <w:rPr>
          <w:rFonts w:cs="Arial"/>
        </w:rPr>
        <w:t>internațională</w:t>
      </w:r>
      <w:r w:rsidRPr="00A83524">
        <w:rPr>
          <w:rFonts w:cs="Arial"/>
        </w:rPr>
        <w:t xml:space="preserve"> în materie penală, </w:t>
      </w:r>
      <w:r w:rsidR="00B1072A" w:rsidRPr="00A83524">
        <w:rPr>
          <w:rFonts w:cs="Arial"/>
        </w:rPr>
        <w:t xml:space="preserve">problema „termenelor pe ore sau pe intervale”, problema </w:t>
      </w:r>
      <w:r w:rsidR="003A20ED" w:rsidRPr="00A83524">
        <w:rPr>
          <w:rFonts w:cs="Arial"/>
        </w:rPr>
        <w:t>implementării</w:t>
      </w:r>
      <w:r w:rsidR="00B1072A" w:rsidRPr="00A83524">
        <w:rPr>
          <w:rFonts w:cs="Arial"/>
        </w:rPr>
        <w:t xml:space="preserve"> dosarului electronic, reducerea abuzivă a onorariilor avocațiale de către instanțe</w:t>
      </w:r>
      <w:r w:rsidR="003A20ED" w:rsidRPr="00A83524">
        <w:rPr>
          <w:rFonts w:cs="Arial"/>
        </w:rPr>
        <w:t>.</w:t>
      </w:r>
    </w:p>
    <w:p w14:paraId="26EB00D1" w14:textId="77777777" w:rsidR="00827F69" w:rsidRPr="00A83524" w:rsidRDefault="00827F69" w:rsidP="00164773">
      <w:p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 xml:space="preserve">Comisia Permanentă a </w:t>
      </w:r>
      <w:r w:rsidR="00E74489" w:rsidRPr="00A83524">
        <w:rPr>
          <w:rFonts w:cs="Arial"/>
        </w:rPr>
        <w:t>statuat</w:t>
      </w:r>
      <w:r w:rsidR="0026360F" w:rsidRPr="00A83524">
        <w:rPr>
          <w:rFonts w:cs="Arial"/>
        </w:rPr>
        <w:t xml:space="preserve">, </w:t>
      </w:r>
      <w:r w:rsidR="00E74489" w:rsidRPr="00A83524">
        <w:rPr>
          <w:rFonts w:cs="Arial"/>
        </w:rPr>
        <w:t xml:space="preserve">ca principiu, </w:t>
      </w:r>
      <w:r w:rsidR="0026360F" w:rsidRPr="00A83524">
        <w:rPr>
          <w:rFonts w:cs="Arial"/>
        </w:rPr>
        <w:t xml:space="preserve">că </w:t>
      </w:r>
      <w:r w:rsidR="00E74489" w:rsidRPr="00A83524">
        <w:rPr>
          <w:rFonts w:cs="Arial"/>
        </w:rPr>
        <w:t xml:space="preserve">UNBR va pune </w:t>
      </w:r>
      <w:r w:rsidR="00A83524">
        <w:rPr>
          <w:rFonts w:cs="Arial"/>
        </w:rPr>
        <w:t>ș</w:t>
      </w:r>
      <w:r w:rsidR="00E74489" w:rsidRPr="00A83524">
        <w:rPr>
          <w:rFonts w:cs="Arial"/>
        </w:rPr>
        <w:t xml:space="preserve">i în continuare interesul general al cetățeanului </w:t>
      </w:r>
      <w:r w:rsidR="00A83524">
        <w:rPr>
          <w:rFonts w:cs="Arial"/>
        </w:rPr>
        <w:t>ș</w:t>
      </w:r>
      <w:r w:rsidR="00E74489" w:rsidRPr="00A83524">
        <w:rPr>
          <w:rFonts w:cs="Arial"/>
        </w:rPr>
        <w:t>i independența judecătorului la temelia pozițiilor pe care le adoptă în legătură cu sistemul judiciar</w:t>
      </w:r>
      <w:r w:rsidR="0026360F" w:rsidRPr="00A83524">
        <w:rPr>
          <w:rFonts w:cs="Arial"/>
        </w:rPr>
        <w:t xml:space="preserve"> </w:t>
      </w:r>
      <w:r w:rsidR="00A83524">
        <w:rPr>
          <w:rFonts w:cs="Arial"/>
        </w:rPr>
        <w:t>ș</w:t>
      </w:r>
      <w:r w:rsidR="0026360F" w:rsidRPr="00A83524">
        <w:rPr>
          <w:rFonts w:cs="Arial"/>
        </w:rPr>
        <w:t>i va proceda în consecință</w:t>
      </w:r>
      <w:r w:rsidR="00E74489" w:rsidRPr="00A83524">
        <w:rPr>
          <w:rFonts w:cs="Arial"/>
        </w:rPr>
        <w:t>.</w:t>
      </w:r>
    </w:p>
    <w:p w14:paraId="208B0D32" w14:textId="77777777" w:rsidR="004E1558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</w:t>
      </w:r>
      <w:r w:rsidR="008464D2" w:rsidRPr="00A83524">
        <w:rPr>
          <w:rFonts w:cs="Arial"/>
        </w:rPr>
        <w:t>f) proiectul inițiat de Barourile Suceava si Boto</w:t>
      </w:r>
      <w:r>
        <w:rPr>
          <w:rFonts w:cs="Arial"/>
        </w:rPr>
        <w:t>ș</w:t>
      </w:r>
      <w:r w:rsidR="008464D2" w:rsidRPr="00A83524">
        <w:rPr>
          <w:rFonts w:cs="Arial"/>
        </w:rPr>
        <w:t xml:space="preserve">ani privind Tabăra de vara Putna-2019, ”Drept transfrontalier. Drept European - Romania </w:t>
      </w:r>
      <w:r>
        <w:rPr>
          <w:rFonts w:cs="Arial"/>
        </w:rPr>
        <w:t>ș</w:t>
      </w:r>
      <w:r w:rsidR="008464D2" w:rsidRPr="00A83524">
        <w:rPr>
          <w:rFonts w:cs="Arial"/>
        </w:rPr>
        <w:t xml:space="preserve">i Moldova” </w:t>
      </w:r>
      <w:r>
        <w:rPr>
          <w:rFonts w:cs="Arial"/>
        </w:rPr>
        <w:t>ș</w:t>
      </w:r>
      <w:r w:rsidR="008464D2" w:rsidRPr="00A83524">
        <w:rPr>
          <w:rFonts w:cs="Arial"/>
        </w:rPr>
        <w:t xml:space="preserve">i proiectul </w:t>
      </w:r>
      <w:r>
        <w:rPr>
          <w:rFonts w:cs="Arial"/>
        </w:rPr>
        <w:t>Ș</w:t>
      </w:r>
      <w:r w:rsidR="008464D2" w:rsidRPr="00A83524">
        <w:rPr>
          <w:rFonts w:cs="Arial"/>
        </w:rPr>
        <w:t xml:space="preserve">colii de vara a Barourilor riverane Dunării </w:t>
      </w:r>
      <w:r>
        <w:rPr>
          <w:rFonts w:cs="Arial"/>
        </w:rPr>
        <w:t>ș</w:t>
      </w:r>
      <w:r w:rsidR="008464D2" w:rsidRPr="00A83524">
        <w:rPr>
          <w:rFonts w:cs="Arial"/>
        </w:rPr>
        <w:t xml:space="preserve">i Marii Negre ”Dreptul Dunării. Drept maritim” </w:t>
      </w:r>
    </w:p>
    <w:p w14:paraId="118604A5" w14:textId="77777777" w:rsidR="008464D2" w:rsidRPr="00A83524" w:rsidRDefault="00A83524" w:rsidP="00164773">
      <w:p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  </w:t>
      </w:r>
      <w:r w:rsidR="00E32561" w:rsidRPr="00A83524">
        <w:rPr>
          <w:rFonts w:cs="Arial"/>
        </w:rPr>
        <w:t xml:space="preserve">g) prioritățile Casei de Asigurări a Avocaților în 2019: achiziția echipamentelor deja bugetate pentru programul de informatizare </w:t>
      </w:r>
      <w:r>
        <w:rPr>
          <w:rFonts w:cs="Arial"/>
        </w:rPr>
        <w:t>ș</w:t>
      </w:r>
      <w:r w:rsidR="00E32561" w:rsidRPr="00A83524">
        <w:rPr>
          <w:rFonts w:cs="Arial"/>
        </w:rPr>
        <w:t>i intensificarea eforturilor pentru implementarea în teritoriu a programelor deja realizate în anii 2015-2018</w:t>
      </w:r>
      <w:r w:rsidR="0078239C" w:rsidRPr="00A83524">
        <w:rPr>
          <w:rFonts w:cs="Arial"/>
        </w:rPr>
        <w:t xml:space="preserve">, finalizarea procedurilor privind obținerea autorizației de construcție necesară pentru reabilitarea Complexului Balnear din Techirghiol, finalizarea părții de informare </w:t>
      </w:r>
      <w:r>
        <w:rPr>
          <w:rFonts w:cs="Arial"/>
        </w:rPr>
        <w:t>ș</w:t>
      </w:r>
      <w:r w:rsidR="0078239C" w:rsidRPr="00A83524">
        <w:rPr>
          <w:rFonts w:cs="Arial"/>
        </w:rPr>
        <w:t>i reglementare necesară pentru introducerea în sistem a procedurilor privind angajamentele de plată ale contribuabililor cu posibilitatea e</w:t>
      </w:r>
      <w:r>
        <w:rPr>
          <w:rFonts w:cs="Arial"/>
        </w:rPr>
        <w:t>ș</w:t>
      </w:r>
      <w:r w:rsidR="0078239C" w:rsidRPr="00A83524">
        <w:rPr>
          <w:rFonts w:cs="Arial"/>
        </w:rPr>
        <w:t xml:space="preserve">alonării datoriilor </w:t>
      </w:r>
      <w:r>
        <w:rPr>
          <w:rFonts w:cs="Arial"/>
        </w:rPr>
        <w:t>ș</w:t>
      </w:r>
      <w:r w:rsidR="0078239C" w:rsidRPr="00A83524">
        <w:rPr>
          <w:rFonts w:cs="Arial"/>
        </w:rPr>
        <w:t>i emiterea deciziilor de impunere contributivă</w:t>
      </w:r>
      <w:r w:rsidR="003A20ED" w:rsidRPr="00A83524">
        <w:rPr>
          <w:rFonts w:cs="Arial"/>
        </w:rPr>
        <w:t>.</w:t>
      </w:r>
    </w:p>
    <w:p w14:paraId="5D6CDA5F" w14:textId="77777777" w:rsidR="00A15711" w:rsidRPr="00A83524" w:rsidRDefault="00A15711" w:rsidP="00164773">
      <w:pPr>
        <w:spacing w:line="276" w:lineRule="auto"/>
        <w:jc w:val="both"/>
        <w:rPr>
          <w:rFonts w:cs="Arial"/>
        </w:rPr>
      </w:pPr>
    </w:p>
    <w:p w14:paraId="340263B3" w14:textId="77777777" w:rsidR="00A15711" w:rsidRPr="00A83524" w:rsidRDefault="00A15711" w:rsidP="00A15711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 xml:space="preserve">Comisia Permanentă a parcurs celelalte puncte de pe ordinea de zi si a decis să facă cu prioritate următoarele comunicări: </w:t>
      </w:r>
    </w:p>
    <w:p w14:paraId="5AB7A729" w14:textId="77777777" w:rsidR="00A15711" w:rsidRPr="00A83524" w:rsidRDefault="00A15711" w:rsidP="00164773">
      <w:pPr>
        <w:spacing w:line="276" w:lineRule="auto"/>
        <w:jc w:val="both"/>
        <w:rPr>
          <w:rFonts w:cs="Arial"/>
        </w:rPr>
      </w:pPr>
    </w:p>
    <w:p w14:paraId="5294C7A1" w14:textId="77777777" w:rsidR="0078239C" w:rsidRPr="00A83524" w:rsidRDefault="00A15711" w:rsidP="00164773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>1</w:t>
      </w:r>
      <w:r w:rsidR="0078239C" w:rsidRPr="00A83524">
        <w:rPr>
          <w:rFonts w:cs="Arial"/>
        </w:rPr>
        <w:t xml:space="preserve">. Comisia Permanentă face un apel către toți decanii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organele UNBR la nivel central ca în pregătirea Congresului avocaților 2019 să aibă în vedere prevederile Legii nr. 51/1995 pentru organizarea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exercitarea profesiei de avocat, republicată, precum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ale Statutului profesiei de avocat, cu modificările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completările ulterioare, în prezent în vigoare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i, în consecință, roagă să se țină cont de următoarele: </w:t>
      </w:r>
    </w:p>
    <w:p w14:paraId="30BB4F5E" w14:textId="77777777" w:rsidR="0078239C" w:rsidRPr="00A83524" w:rsidRDefault="0078239C" w:rsidP="00164773">
      <w:pPr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 xml:space="preserve">Data de referință în raport de care se determină numărul delegaților baroului la Congresul avocaților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numărul membrilor Consiliului UNBR (alții decât decanii) care reprezintă baroul în organul de conducere al UNBR cu activitate permanentă între Congresele avocaților, este data la care se convoacă Adunarea generala a baroului care a înscris pe ordinea de zi desemnarea delegaților prin vot. Data corespunzătoare fiecărui barou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numărul avocaților cu drept de exercitare a profesiei care îndeplinesc condițiile prevăzute de Lege </w:t>
      </w:r>
      <w:r w:rsidR="00A83524">
        <w:rPr>
          <w:rFonts w:cs="Arial"/>
        </w:rPr>
        <w:t>ș</w:t>
      </w:r>
      <w:r w:rsidRPr="00A83524">
        <w:rPr>
          <w:rFonts w:cs="Arial"/>
        </w:rPr>
        <w:t>i Statut pentru a avea calitatea de membri ai Adunării generale a baroului, în raport de care se stabile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te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se verifică cvorumul de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edința, se comunică la UNBR în termen de cel mult 5 zile de la data convocării Adunării Generale; </w:t>
      </w:r>
    </w:p>
    <w:p w14:paraId="1CE0A7DC" w14:textId="77777777" w:rsidR="0078239C" w:rsidRPr="00A83524" w:rsidRDefault="0078239C" w:rsidP="00164773">
      <w:pPr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>În adunările generale trebuie să se decidă cu privire la delegații care vor avea vocația să fie ale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de către Congres ca membri al Consiliului UNBR, Comisiei Centrale de Cenzori a UNBR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CAA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a Comisiei Centrale de Disciplină; se va avea în vedere faptul că, în Consiliul UNBR, se vor alege, potrivit legislației în vigoare, membrii Comisiei Permanente </w:t>
      </w:r>
      <w:r w:rsidR="00A83524">
        <w:rPr>
          <w:rFonts w:cs="Arial"/>
        </w:rPr>
        <w:t>ș</w:t>
      </w:r>
      <w:r w:rsidRPr="00A83524">
        <w:rPr>
          <w:rFonts w:cs="Arial"/>
        </w:rPr>
        <w:t>i ai Consiliului de administrație a CAA;</w:t>
      </w:r>
    </w:p>
    <w:p w14:paraId="71946D2C" w14:textId="77777777" w:rsidR="0078239C" w:rsidRPr="00A83524" w:rsidRDefault="0078239C" w:rsidP="00164773">
      <w:pPr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 xml:space="preserve">Decanii barourilor sunt rugați să aibă în vedere ca Legea nr. 51/1995, impune ca alegerile noilor organe de conducere ale profesiei de avocat la nivelul barourilor, al filialelor CAA, al conducerii centrale a UNBR </w:t>
      </w:r>
      <w:r w:rsidR="00A83524">
        <w:rPr>
          <w:rFonts w:cs="Arial"/>
        </w:rPr>
        <w:t>ș</w:t>
      </w:r>
      <w:r w:rsidRPr="00A83524">
        <w:rPr>
          <w:rFonts w:cs="Arial"/>
        </w:rPr>
        <w:t>i a CAA, la nivel central sa se desfă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oare înainte de data expirării mandatelor în curs, astfel cum acestea sunt determinate de prevederile legale in vigoare. </w:t>
      </w:r>
    </w:p>
    <w:p w14:paraId="662D3169" w14:textId="77777777" w:rsidR="0078239C" w:rsidRPr="00A83524" w:rsidRDefault="0078239C" w:rsidP="00164773">
      <w:pPr>
        <w:spacing w:line="276" w:lineRule="auto"/>
        <w:jc w:val="both"/>
        <w:rPr>
          <w:rFonts w:cs="Arial"/>
        </w:rPr>
      </w:pPr>
    </w:p>
    <w:p w14:paraId="6ECD6FDE" w14:textId="77777777" w:rsidR="0078239C" w:rsidRPr="00A83524" w:rsidRDefault="00A15711" w:rsidP="00164773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>2</w:t>
      </w:r>
      <w:r w:rsidR="0078239C" w:rsidRPr="00A83524">
        <w:rPr>
          <w:rFonts w:cs="Arial"/>
        </w:rPr>
        <w:t xml:space="preserve">. Comisia Permanentă a constatat că, în pofida numeroaselor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>i repetatelor sesizări înaintate de organele profesiei de avocat, persistă disfuncționalitățile serviciului public al justiției în ceea ce prive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te asigurarea în mod real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efectiv a dreptului la apărare prin asigurarea contraprestațiilor datorate pentru activitățile de </w:t>
      </w:r>
      <w:r w:rsidR="0078239C" w:rsidRPr="00A83524">
        <w:rPr>
          <w:rFonts w:cs="Arial"/>
        </w:rPr>
        <w:lastRenderedPageBreak/>
        <w:t xml:space="preserve">asistentă judiciară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 xml:space="preserve">i a adoptat un APEL adresat Guvernului României </w:t>
      </w:r>
      <w:r w:rsidR="00A83524">
        <w:rPr>
          <w:rFonts w:cs="Arial"/>
        </w:rPr>
        <w:t>ș</w:t>
      </w:r>
      <w:r w:rsidR="0078239C" w:rsidRPr="00A83524">
        <w:rPr>
          <w:rFonts w:cs="Arial"/>
        </w:rPr>
        <w:t>i Ministerului Justiției prin care: </w:t>
      </w:r>
    </w:p>
    <w:p w14:paraId="5A4998F9" w14:textId="77777777" w:rsidR="0078239C" w:rsidRPr="00A83524" w:rsidRDefault="0078239C" w:rsidP="00164773">
      <w:pPr>
        <w:pStyle w:val="ListParagraph"/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A83524">
        <w:rPr>
          <w:rFonts w:ascii="Arial" w:hAnsi="Arial" w:cs="Arial"/>
          <w:sz w:val="24"/>
          <w:szCs w:val="24"/>
          <w:lang w:val="ro-RO"/>
        </w:rPr>
        <w:t xml:space="preserve">a. apreciază ca fiind legitime </w:t>
      </w:r>
      <w:r w:rsidR="00A83524">
        <w:rPr>
          <w:rFonts w:ascii="Arial" w:hAnsi="Arial" w:cs="Arial"/>
          <w:sz w:val="24"/>
          <w:szCs w:val="24"/>
          <w:lang w:val="ro-RO"/>
        </w:rPr>
        <w:t>ș</w:t>
      </w:r>
      <w:r w:rsidRPr="00A83524">
        <w:rPr>
          <w:rFonts w:ascii="Arial" w:hAnsi="Arial" w:cs="Arial"/>
          <w:sz w:val="24"/>
          <w:szCs w:val="24"/>
          <w:lang w:val="ro-RO"/>
        </w:rPr>
        <w:t>i susține solicitările formulate de numeroase barouri din cadrul Uniunii Naționale a Barourilor din România, privind asigurarea unei corecte remunerări a activității avocaților pentru serviciile avocațiale prestate în cauzele în care asistența judiciară este obligatorie, potrivit legii;</w:t>
      </w:r>
    </w:p>
    <w:p w14:paraId="547E7614" w14:textId="77777777" w:rsidR="0078239C" w:rsidRPr="00A83524" w:rsidRDefault="0078239C" w:rsidP="00164773">
      <w:pPr>
        <w:pStyle w:val="ListParagraph"/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A83524">
        <w:rPr>
          <w:rFonts w:ascii="Arial" w:hAnsi="Arial" w:cs="Arial"/>
          <w:sz w:val="24"/>
          <w:szCs w:val="24"/>
          <w:lang w:val="ro-RO"/>
        </w:rPr>
        <w:t>b. solicită în numele tuturor barourilor membre U.N.B.R., găsirea unor soluții care să prevadă a</w:t>
      </w:r>
      <w:r w:rsidR="00A83524">
        <w:rPr>
          <w:rFonts w:ascii="Arial" w:hAnsi="Arial" w:cs="Arial"/>
          <w:sz w:val="24"/>
          <w:szCs w:val="24"/>
          <w:lang w:val="ro-RO"/>
        </w:rPr>
        <w:t>ș</w:t>
      </w:r>
      <w:r w:rsidRPr="00A83524">
        <w:rPr>
          <w:rFonts w:ascii="Arial" w:hAnsi="Arial" w:cs="Arial"/>
          <w:sz w:val="24"/>
          <w:szCs w:val="24"/>
          <w:lang w:val="ro-RO"/>
        </w:rPr>
        <w:t>ezarea pe o bază echitabilă a cuantumului onorariilor cuvenite avocaților care asigură asistență judiciară din oficiu, a</w:t>
      </w:r>
      <w:r w:rsidR="00A83524">
        <w:rPr>
          <w:rFonts w:ascii="Arial" w:hAnsi="Arial" w:cs="Arial"/>
          <w:sz w:val="24"/>
          <w:szCs w:val="24"/>
          <w:lang w:val="ro-RO"/>
        </w:rPr>
        <w:t>ș</w:t>
      </w:r>
      <w:r w:rsidRPr="00A83524">
        <w:rPr>
          <w:rFonts w:ascii="Arial" w:hAnsi="Arial" w:cs="Arial"/>
          <w:sz w:val="24"/>
          <w:szCs w:val="24"/>
          <w:lang w:val="ro-RO"/>
        </w:rPr>
        <w:t xml:space="preserve">a cum am solicitat în mod constant </w:t>
      </w:r>
      <w:r w:rsidR="00A83524">
        <w:rPr>
          <w:rFonts w:ascii="Arial" w:hAnsi="Arial" w:cs="Arial"/>
          <w:sz w:val="24"/>
          <w:szCs w:val="24"/>
          <w:lang w:val="ro-RO"/>
        </w:rPr>
        <w:t>ș</w:t>
      </w:r>
      <w:r w:rsidRPr="00A83524">
        <w:rPr>
          <w:rFonts w:ascii="Arial" w:hAnsi="Arial" w:cs="Arial"/>
          <w:sz w:val="24"/>
          <w:szCs w:val="24"/>
          <w:lang w:val="ro-RO"/>
        </w:rPr>
        <w:t>i argumentat prin numeroase memorii transmise de U.N.B.R.;</w:t>
      </w:r>
    </w:p>
    <w:p w14:paraId="1284AD24" w14:textId="77777777" w:rsidR="0078239C" w:rsidRPr="00A83524" w:rsidRDefault="0078239C" w:rsidP="00164773">
      <w:pPr>
        <w:pStyle w:val="ListParagraph"/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  <w:lang w:val="ro-RO"/>
        </w:rPr>
      </w:pPr>
      <w:r w:rsidRPr="00A83524">
        <w:rPr>
          <w:rFonts w:ascii="Arial" w:hAnsi="Arial" w:cs="Arial"/>
          <w:sz w:val="24"/>
          <w:szCs w:val="24"/>
          <w:lang w:val="ro-RO"/>
        </w:rPr>
        <w:t>c. asigură că demersurile organelor profesiei de avocat sunt în sensul asigurării unei funcționalități reale a serviciului public al justiției, care însă se poate realiza numai prin respectul reciproc manifestat în legătură cu aprecierea activității tuturor factorilor implicați în actul de justiție.</w:t>
      </w:r>
    </w:p>
    <w:p w14:paraId="06F309AF" w14:textId="77777777" w:rsidR="00A15711" w:rsidRPr="00A83524" w:rsidRDefault="00A15711" w:rsidP="00164773">
      <w:pPr>
        <w:pStyle w:val="ListParagraph"/>
        <w:spacing w:after="0" w:line="276" w:lineRule="auto"/>
        <w:ind w:left="0" w:firstLine="360"/>
        <w:jc w:val="both"/>
        <w:rPr>
          <w:rFonts w:ascii="Arial" w:hAnsi="Arial" w:cs="Arial"/>
          <w:sz w:val="24"/>
          <w:szCs w:val="24"/>
          <w:lang w:val="ro-RO"/>
        </w:rPr>
      </w:pPr>
    </w:p>
    <w:p w14:paraId="34C73C9E" w14:textId="77777777" w:rsidR="00E32561" w:rsidRPr="00A83524" w:rsidRDefault="0078239C" w:rsidP="00164773">
      <w:p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ab/>
      </w:r>
      <w:r w:rsidR="00A15711" w:rsidRPr="00A83524">
        <w:rPr>
          <w:rFonts w:cs="Arial"/>
        </w:rPr>
        <w:t>3</w:t>
      </w:r>
      <w:r w:rsidRPr="00A83524">
        <w:rPr>
          <w:rFonts w:cs="Arial"/>
        </w:rPr>
        <w:t xml:space="preserve">. </w:t>
      </w:r>
      <w:r w:rsidR="00D94C1D" w:rsidRPr="00A83524">
        <w:rPr>
          <w:rFonts w:cs="Arial"/>
        </w:rPr>
        <w:t xml:space="preserve">Comisia Permanentă a analizat </w:t>
      </w:r>
      <w:r w:rsidR="00A83524">
        <w:rPr>
          <w:rFonts w:cs="Arial"/>
        </w:rPr>
        <w:t>ș</w:t>
      </w:r>
      <w:r w:rsidR="00D94C1D" w:rsidRPr="00A83524">
        <w:rPr>
          <w:rFonts w:cs="Arial"/>
        </w:rPr>
        <w:t xml:space="preserve">i definitivat Proiectul Deciziei interpretative privind </w:t>
      </w:r>
      <w:r w:rsidR="00C5300F" w:rsidRPr="00A83524">
        <w:rPr>
          <w:rFonts w:cs="Arial"/>
        </w:rPr>
        <w:t>interpreta</w:t>
      </w:r>
      <w:r w:rsidR="00D94C1D" w:rsidRPr="00A83524">
        <w:rPr>
          <w:rFonts w:cs="Arial"/>
        </w:rPr>
        <w:t>rea</w:t>
      </w:r>
      <w:r w:rsidR="00C5300F" w:rsidRPr="00A83524">
        <w:rPr>
          <w:rFonts w:cs="Arial"/>
        </w:rPr>
        <w:t xml:space="preserve"> </w:t>
      </w:r>
      <w:r w:rsidR="00A83524">
        <w:rPr>
          <w:rFonts w:cs="Arial"/>
        </w:rPr>
        <w:t>ș</w:t>
      </w:r>
      <w:r w:rsidR="00C5300F" w:rsidRPr="00A83524">
        <w:rPr>
          <w:rFonts w:cs="Arial"/>
        </w:rPr>
        <w:t>i aplica</w:t>
      </w:r>
      <w:r w:rsidR="00D94C1D" w:rsidRPr="00A83524">
        <w:rPr>
          <w:rFonts w:cs="Arial"/>
        </w:rPr>
        <w:t>rea</w:t>
      </w:r>
      <w:r w:rsidR="00C5300F" w:rsidRPr="00A83524">
        <w:rPr>
          <w:rFonts w:cs="Arial"/>
        </w:rPr>
        <w:t xml:space="preserve"> unitar</w:t>
      </w:r>
      <w:r w:rsidR="00D94C1D" w:rsidRPr="00A83524">
        <w:rPr>
          <w:rFonts w:cs="Arial"/>
        </w:rPr>
        <w:t>ă a</w:t>
      </w:r>
      <w:r w:rsidR="00C5300F" w:rsidRPr="00A83524">
        <w:rPr>
          <w:rFonts w:cs="Arial"/>
        </w:rPr>
        <w:t xml:space="preserve"> prevederile legislației profesionale privind compatibilitatea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>calității de avocat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>cu drept de exercitare a profesiei cu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>activitățile de ”manager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>de proiect”, „expert”, ”formator”, ”expert-formator” ”lector” în Proiecte care au ca BENEFICIAR entități ale profesiei de avocat,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>alte profesii juridice sau profesii a căror exercitare în România impune obligatoriu cunoa</w:t>
      </w:r>
      <w:r w:rsidR="00A83524">
        <w:rPr>
          <w:rFonts w:cs="Arial"/>
        </w:rPr>
        <w:t>ș</w:t>
      </w:r>
      <w:r w:rsidR="00C5300F" w:rsidRPr="00A83524">
        <w:rPr>
          <w:rFonts w:cs="Arial"/>
        </w:rPr>
        <w:t>terea dreptului românesc,</w:t>
      </w:r>
      <w:r w:rsidR="00A83524">
        <w:rPr>
          <w:rFonts w:cs="Arial"/>
        </w:rPr>
        <w:t xml:space="preserve"> </w:t>
      </w:r>
      <w:r w:rsidR="00C5300F" w:rsidRPr="00A83524">
        <w:rPr>
          <w:rFonts w:cs="Arial"/>
        </w:rPr>
        <w:t xml:space="preserve">în activități de instruire </w:t>
      </w:r>
      <w:r w:rsidR="00A83524">
        <w:rPr>
          <w:rFonts w:cs="Arial"/>
        </w:rPr>
        <w:t>ș</w:t>
      </w:r>
      <w:r w:rsidR="00C5300F" w:rsidRPr="00A83524">
        <w:rPr>
          <w:rFonts w:cs="Arial"/>
        </w:rPr>
        <w:t>i educație juridică în scoli si licee, activități de cercetare în domeniul juridic.</w:t>
      </w:r>
      <w:r w:rsidR="00D94C1D" w:rsidRPr="00A83524">
        <w:rPr>
          <w:rFonts w:cs="Arial"/>
        </w:rPr>
        <w:t xml:space="preserve"> S-a decis comunicarea </w:t>
      </w:r>
      <w:r w:rsidR="00F40826" w:rsidRPr="00A83524">
        <w:rPr>
          <w:rFonts w:cs="Arial"/>
        </w:rPr>
        <w:t xml:space="preserve">electronică </w:t>
      </w:r>
      <w:r w:rsidR="00D94C1D" w:rsidRPr="00A83524">
        <w:rPr>
          <w:rFonts w:cs="Arial"/>
        </w:rPr>
        <w:t>către membrii Consiliului UNBR</w:t>
      </w:r>
      <w:r w:rsidR="00B12C39" w:rsidRPr="00A83524">
        <w:rPr>
          <w:rFonts w:cs="Arial"/>
        </w:rPr>
        <w:t xml:space="preserve"> pentru a face propuneri ori a vota </w:t>
      </w:r>
      <w:r w:rsidR="00F40826" w:rsidRPr="00A83524">
        <w:rPr>
          <w:rFonts w:cs="Arial"/>
        </w:rPr>
        <w:t xml:space="preserve">prin email </w:t>
      </w:r>
      <w:r w:rsidR="00B12C39" w:rsidRPr="00A83524">
        <w:rPr>
          <w:rFonts w:cs="Arial"/>
        </w:rPr>
        <w:t>pentru / împotriva adoptării Proiectului</w:t>
      </w:r>
      <w:r w:rsidR="00F40826" w:rsidRPr="00A83524">
        <w:rPr>
          <w:rFonts w:cs="Arial"/>
        </w:rPr>
        <w:t>, având în vedere interesele unor colegi avocați care au oportunități de a munci</w:t>
      </w:r>
      <w:r w:rsidR="00B12C39" w:rsidRPr="00A83524">
        <w:rPr>
          <w:rFonts w:cs="Arial"/>
        </w:rPr>
        <w:t>.</w:t>
      </w:r>
    </w:p>
    <w:p w14:paraId="5A6D3C29" w14:textId="77777777" w:rsidR="00E32561" w:rsidRPr="00A83524" w:rsidRDefault="00E32561" w:rsidP="00164773">
      <w:pPr>
        <w:spacing w:line="276" w:lineRule="auto"/>
        <w:jc w:val="both"/>
        <w:rPr>
          <w:rFonts w:cs="Arial"/>
        </w:rPr>
      </w:pPr>
    </w:p>
    <w:p w14:paraId="2BA9C4AA" w14:textId="77777777" w:rsidR="00E32561" w:rsidRPr="00A83524" w:rsidRDefault="00F40826" w:rsidP="00164773">
      <w:p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ab/>
      </w:r>
      <w:r w:rsidR="00A15711" w:rsidRPr="00A83524">
        <w:rPr>
          <w:rFonts w:cs="Arial"/>
        </w:rPr>
        <w:t>4</w:t>
      </w:r>
      <w:r w:rsidRPr="00A83524">
        <w:rPr>
          <w:rFonts w:cs="Arial"/>
        </w:rPr>
        <w:t xml:space="preserve">. </w:t>
      </w:r>
      <w:r w:rsidR="00604DF9" w:rsidRPr="00A83524">
        <w:rPr>
          <w:rFonts w:cs="Arial"/>
        </w:rPr>
        <w:t>Comisia Permanentă a luat act de informarea făcută de Directorul</w:t>
      </w:r>
      <w:r w:rsidR="00280970" w:rsidRPr="00A83524">
        <w:rPr>
          <w:rFonts w:cs="Arial"/>
        </w:rPr>
        <w:t xml:space="preserve"> Institutului Național de Pregătire </w:t>
      </w:r>
      <w:r w:rsidR="00A83524">
        <w:rPr>
          <w:rFonts w:cs="Arial"/>
        </w:rPr>
        <w:t>ș</w:t>
      </w:r>
      <w:r w:rsidR="00280970" w:rsidRPr="00A83524">
        <w:rPr>
          <w:rFonts w:cs="Arial"/>
        </w:rPr>
        <w:t>i Perfecționare a Avocaților (</w:t>
      </w:r>
      <w:r w:rsidR="00604DF9" w:rsidRPr="00A83524">
        <w:rPr>
          <w:rFonts w:cs="Arial"/>
        </w:rPr>
        <w:t>INPPA</w:t>
      </w:r>
      <w:r w:rsidR="00280970" w:rsidRPr="00A83524">
        <w:rPr>
          <w:rFonts w:cs="Arial"/>
        </w:rPr>
        <w:t>)</w:t>
      </w:r>
      <w:r w:rsidR="00604DF9" w:rsidRPr="00A83524">
        <w:rPr>
          <w:rFonts w:cs="Arial"/>
        </w:rPr>
        <w:t xml:space="preserve"> privind </w:t>
      </w:r>
      <w:r w:rsidR="008F4DD0" w:rsidRPr="00A83524">
        <w:rPr>
          <w:rFonts w:cs="Arial"/>
        </w:rPr>
        <w:t>evoluția procedurilor de înscriere la</w:t>
      </w:r>
      <w:r w:rsidR="00604DF9" w:rsidRPr="00A83524">
        <w:rPr>
          <w:rFonts w:cs="Arial"/>
        </w:rPr>
        <w:t xml:space="preserve"> examenul de primire în profesia de avocat, sesiunea martie 2019</w:t>
      </w:r>
      <w:r w:rsidR="008F4DD0" w:rsidRPr="00A83524">
        <w:rPr>
          <w:rFonts w:cs="Arial"/>
        </w:rPr>
        <w:t xml:space="preserve"> </w:t>
      </w:r>
      <w:r w:rsidR="00A83524">
        <w:rPr>
          <w:rFonts w:cs="Arial"/>
        </w:rPr>
        <w:t>ș</w:t>
      </w:r>
      <w:r w:rsidR="008F4DD0" w:rsidRPr="00A83524">
        <w:rPr>
          <w:rFonts w:cs="Arial"/>
        </w:rPr>
        <w:t>i cu privire</w:t>
      </w:r>
      <w:r w:rsidR="00280970" w:rsidRPr="00A83524">
        <w:rPr>
          <w:rFonts w:cs="Arial"/>
        </w:rPr>
        <w:t xml:space="preserve"> </w:t>
      </w:r>
      <w:r w:rsidR="008F4DD0" w:rsidRPr="00A83524">
        <w:rPr>
          <w:rFonts w:cs="Arial"/>
        </w:rPr>
        <w:t>la prop</w:t>
      </w:r>
      <w:r w:rsidR="00280970" w:rsidRPr="00A83524">
        <w:rPr>
          <w:rFonts w:cs="Arial"/>
        </w:rPr>
        <w:t xml:space="preserve">unerile făcute de barouri </w:t>
      </w:r>
      <w:r w:rsidR="00A83524">
        <w:rPr>
          <w:rFonts w:cs="Arial"/>
        </w:rPr>
        <w:t>ș</w:t>
      </w:r>
      <w:r w:rsidR="00280970" w:rsidRPr="00A83524">
        <w:rPr>
          <w:rFonts w:cs="Arial"/>
        </w:rPr>
        <w:t>i înaintate la INPPA pentru constituirea comisiilor de examen.</w:t>
      </w:r>
      <w:r w:rsidR="008F4DD0" w:rsidRPr="00A83524">
        <w:rPr>
          <w:rFonts w:cs="Arial"/>
        </w:rPr>
        <w:t xml:space="preserve"> </w:t>
      </w:r>
      <w:r w:rsidR="00280970" w:rsidRPr="00A83524">
        <w:rPr>
          <w:rFonts w:cs="Arial"/>
        </w:rPr>
        <w:t xml:space="preserve">Comisia Permanentă a decis să declare </w:t>
      </w:r>
      <w:r w:rsidR="008F4DD0" w:rsidRPr="00A83524">
        <w:rPr>
          <w:rFonts w:cs="Arial"/>
        </w:rPr>
        <w:t>sesiun</w:t>
      </w:r>
      <w:r w:rsidR="00280970" w:rsidRPr="00A83524">
        <w:rPr>
          <w:rFonts w:cs="Arial"/>
        </w:rPr>
        <w:t>e</w:t>
      </w:r>
      <w:r w:rsidR="008F4DD0" w:rsidRPr="00A83524">
        <w:rPr>
          <w:rFonts w:cs="Arial"/>
        </w:rPr>
        <w:t xml:space="preserve"> de lucru </w:t>
      </w:r>
      <w:r w:rsidR="00280970" w:rsidRPr="00A83524">
        <w:rPr>
          <w:rFonts w:cs="Arial"/>
        </w:rPr>
        <w:t xml:space="preserve">în </w:t>
      </w:r>
      <w:r w:rsidR="00A83524">
        <w:rPr>
          <w:rFonts w:cs="Arial"/>
        </w:rPr>
        <w:t>ș</w:t>
      </w:r>
      <w:r w:rsidR="00280970" w:rsidRPr="00A83524">
        <w:rPr>
          <w:rFonts w:cs="Arial"/>
        </w:rPr>
        <w:t>edință deschisă</w:t>
      </w:r>
      <w:r w:rsidR="008F4DD0" w:rsidRPr="00A83524">
        <w:rPr>
          <w:rFonts w:cs="Arial"/>
        </w:rPr>
        <w:t xml:space="preserve"> </w:t>
      </w:r>
      <w:r w:rsidR="00280970" w:rsidRPr="00A83524">
        <w:rPr>
          <w:rFonts w:cs="Arial"/>
        </w:rPr>
        <w:t xml:space="preserve">pentru a decide </w:t>
      </w:r>
      <w:r w:rsidR="008F4DD0" w:rsidRPr="00A83524">
        <w:rPr>
          <w:rFonts w:cs="Arial"/>
        </w:rPr>
        <w:t>cu priv</w:t>
      </w:r>
      <w:r w:rsidR="00280970" w:rsidRPr="00A83524">
        <w:rPr>
          <w:rFonts w:cs="Arial"/>
        </w:rPr>
        <w:t>ire la orice problemă din domeniul competenței sale privind desfă</w:t>
      </w:r>
      <w:r w:rsidR="00A83524">
        <w:rPr>
          <w:rFonts w:cs="Arial"/>
        </w:rPr>
        <w:t>ș</w:t>
      </w:r>
      <w:r w:rsidR="00280970" w:rsidRPr="00A83524">
        <w:rPr>
          <w:rFonts w:cs="Arial"/>
        </w:rPr>
        <w:t>urarea examenului.</w:t>
      </w:r>
    </w:p>
    <w:p w14:paraId="2AEA8A72" w14:textId="77777777" w:rsidR="0019659C" w:rsidRPr="00A83524" w:rsidRDefault="0019659C" w:rsidP="00164773">
      <w:pPr>
        <w:spacing w:line="276" w:lineRule="auto"/>
        <w:jc w:val="both"/>
        <w:rPr>
          <w:rFonts w:cs="Arial"/>
        </w:rPr>
      </w:pPr>
    </w:p>
    <w:p w14:paraId="02CE0558" w14:textId="2044A012" w:rsidR="0027373F" w:rsidRPr="00A83524" w:rsidRDefault="00A15711" w:rsidP="00164773">
      <w:pPr>
        <w:spacing w:line="276" w:lineRule="auto"/>
        <w:ind w:firstLine="708"/>
        <w:jc w:val="both"/>
        <w:rPr>
          <w:rFonts w:cs="Arial"/>
          <w:i/>
        </w:rPr>
      </w:pPr>
      <w:r w:rsidRPr="00A83524">
        <w:rPr>
          <w:rFonts w:cs="Arial"/>
        </w:rPr>
        <w:t>5</w:t>
      </w:r>
      <w:r w:rsidR="00E74489" w:rsidRPr="00A83524">
        <w:rPr>
          <w:rFonts w:cs="Arial"/>
        </w:rPr>
        <w:t xml:space="preserve">. </w:t>
      </w:r>
      <w:r w:rsidR="00C043F7" w:rsidRPr="00A83524">
        <w:rPr>
          <w:rFonts w:cs="Arial"/>
        </w:rPr>
        <w:t>Comisia Permanentă a luat act de solicitarea</w:t>
      </w:r>
      <w:r w:rsidR="008F4DD0" w:rsidRPr="00A83524">
        <w:rPr>
          <w:rFonts w:cs="Arial"/>
        </w:rPr>
        <w:t xml:space="preserve"> instanței în </w:t>
      </w:r>
      <w:r w:rsidR="00C043F7" w:rsidRPr="00A83524">
        <w:rPr>
          <w:rFonts w:cs="Arial"/>
        </w:rPr>
        <w:t>dosarul nr 453/33/2018</w:t>
      </w:r>
      <w:r w:rsidR="0027373F" w:rsidRPr="00A83524">
        <w:rPr>
          <w:rFonts w:cs="Arial"/>
        </w:rPr>
        <w:t xml:space="preserve">, </w:t>
      </w:r>
      <w:r w:rsidR="00C043F7" w:rsidRPr="00A83524">
        <w:rPr>
          <w:rFonts w:cs="Arial"/>
        </w:rPr>
        <w:t xml:space="preserve">aflat pe rolul Curții de Apel Cluj, Secția a III-a Contencios Administrativ </w:t>
      </w:r>
      <w:r w:rsidR="00A83524">
        <w:rPr>
          <w:rFonts w:cs="Arial"/>
        </w:rPr>
        <w:t>ș</w:t>
      </w:r>
      <w:r w:rsidR="00C043F7" w:rsidRPr="00A83524">
        <w:rPr>
          <w:rFonts w:cs="Arial"/>
        </w:rPr>
        <w:t>i Fiscal</w:t>
      </w:r>
      <w:r w:rsidR="00162475" w:rsidRPr="00A83524">
        <w:rPr>
          <w:rFonts w:cs="Arial"/>
        </w:rPr>
        <w:t xml:space="preserve">, având ca obiect anulare parțială a Hotărârii Consiliului UNBR nr.295/09.12.2017 privind cotele de contribuție la sistemul Casei de Asigurări a Avocaților, prin care se cere UNBR să depună la dosarul cauzei înregistrările audio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 xml:space="preserve">i transcripturile aferente acestora, ale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 xml:space="preserve">edinței Comisiei Permanente din data de 08.12.2017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 xml:space="preserve">i ale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>edințelor Consiliului UNBR din datele de 09.12.2017, respectiv 16.02.2018</w:t>
      </w:r>
      <w:r w:rsidR="0027373F" w:rsidRPr="00A83524">
        <w:rPr>
          <w:rFonts w:cs="Arial"/>
        </w:rPr>
        <w:t xml:space="preserve">. Din cuprinsul încheierii de </w:t>
      </w:r>
      <w:r w:rsidR="00A83524">
        <w:rPr>
          <w:rFonts w:cs="Arial"/>
        </w:rPr>
        <w:t>ș</w:t>
      </w:r>
      <w:r w:rsidR="0027373F" w:rsidRPr="00A83524">
        <w:rPr>
          <w:rFonts w:cs="Arial"/>
        </w:rPr>
        <w:t xml:space="preserve">edință de la termenul anterior a rezultat că reclamanții au precizat că, </w:t>
      </w:r>
      <w:r w:rsidR="00E75C1E" w:rsidRPr="00A83524">
        <w:rPr>
          <w:rFonts w:cs="Arial"/>
        </w:rPr>
        <w:t>în cursul litigiului,</w:t>
      </w:r>
      <w:r w:rsidR="0027373F" w:rsidRPr="00A83524">
        <w:rPr>
          <w:rFonts w:cs="Arial"/>
        </w:rPr>
        <w:t xml:space="preserve"> </w:t>
      </w:r>
      <w:r w:rsidR="00E75C1E" w:rsidRPr="00A83524">
        <w:rPr>
          <w:rFonts w:cs="Arial"/>
        </w:rPr>
        <w:t>au depus la dosarul cauzei un transcript „al unei înregistrări audio obținută de la alți colegi avocați”. Comisia Permanentă</w:t>
      </w:r>
      <w:r w:rsidR="00162475" w:rsidRPr="00A83524">
        <w:rPr>
          <w:rFonts w:cs="Arial"/>
        </w:rPr>
        <w:t xml:space="preserve"> a decis să comunice instanței extras din transcripturile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>i procesele-verbale a</w:t>
      </w:r>
      <w:r w:rsidR="00E75C1E" w:rsidRPr="00A83524">
        <w:rPr>
          <w:rFonts w:cs="Arial"/>
        </w:rPr>
        <w:t xml:space="preserve">ferente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>edințelor sus menționate</w:t>
      </w:r>
      <w:r w:rsidR="008F4DD0" w:rsidRPr="00A83524">
        <w:rPr>
          <w:rFonts w:cs="Arial"/>
        </w:rPr>
        <w:t xml:space="preserve"> ale org</w:t>
      </w:r>
      <w:r w:rsidR="0027373F" w:rsidRPr="00A83524">
        <w:rPr>
          <w:rFonts w:cs="Arial"/>
        </w:rPr>
        <w:t xml:space="preserve">anelor profesiei, </w:t>
      </w:r>
      <w:r w:rsidR="00162475" w:rsidRPr="00A83524">
        <w:rPr>
          <w:rFonts w:cs="Arial"/>
        </w:rPr>
        <w:t xml:space="preserve">având în vedere prevederile art. 48 </w:t>
      </w:r>
      <w:r w:rsidR="00162475" w:rsidRPr="00A83524">
        <w:rPr>
          <w:rFonts w:cs="Arial"/>
        </w:rPr>
        <w:lastRenderedPageBreak/>
        <w:t>alin. (3) din Legea nr. 51/1995, republicată</w:t>
      </w:r>
      <w:r w:rsidR="008F4DD0" w:rsidRPr="00A83524">
        <w:rPr>
          <w:rFonts w:cs="Arial"/>
        </w:rPr>
        <w:t xml:space="preserve"> incidente în activ</w:t>
      </w:r>
      <w:r w:rsidR="0027373F" w:rsidRPr="00A83524">
        <w:rPr>
          <w:rFonts w:cs="Arial"/>
        </w:rPr>
        <w:t>itatea</w:t>
      </w:r>
      <w:r w:rsidR="008F4DD0" w:rsidRPr="00A83524">
        <w:rPr>
          <w:rFonts w:cs="Arial"/>
        </w:rPr>
        <w:t xml:space="preserve"> tut</w:t>
      </w:r>
      <w:r w:rsidR="0027373F" w:rsidRPr="00A83524">
        <w:rPr>
          <w:rFonts w:cs="Arial"/>
        </w:rPr>
        <w:t>uror</w:t>
      </w:r>
      <w:r w:rsidR="008F4DD0" w:rsidRPr="00A83524">
        <w:rPr>
          <w:rFonts w:cs="Arial"/>
        </w:rPr>
        <w:t xml:space="preserve"> org</w:t>
      </w:r>
      <w:r w:rsidR="0027373F" w:rsidRPr="00A83524">
        <w:rPr>
          <w:rFonts w:cs="Arial"/>
        </w:rPr>
        <w:t>anelor</w:t>
      </w:r>
      <w:r w:rsidR="008F4DD0" w:rsidRPr="00A83524">
        <w:rPr>
          <w:rFonts w:cs="Arial"/>
        </w:rPr>
        <w:t xml:space="preserve"> prof</w:t>
      </w:r>
      <w:r w:rsidR="0027373F" w:rsidRPr="00A83524">
        <w:rPr>
          <w:rFonts w:cs="Arial"/>
        </w:rPr>
        <w:t>esiei</w:t>
      </w:r>
      <w:r w:rsidR="00162475" w:rsidRPr="00A83524">
        <w:rPr>
          <w:rFonts w:cs="Arial"/>
        </w:rPr>
        <w:t>,</w:t>
      </w:r>
      <w:r w:rsidR="008F4DD0" w:rsidRPr="00A83524">
        <w:rPr>
          <w:rFonts w:cs="Arial"/>
        </w:rPr>
        <w:t xml:space="preserve"> astfel cum s-a decis</w:t>
      </w:r>
      <w:r w:rsidR="00162475" w:rsidRPr="00A83524">
        <w:rPr>
          <w:rFonts w:cs="Arial"/>
        </w:rPr>
        <w:t xml:space="preserve"> în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 xml:space="preserve">edința </w:t>
      </w:r>
      <w:r w:rsidR="008F4DD0" w:rsidRPr="00A83524">
        <w:rPr>
          <w:rFonts w:cs="Arial"/>
        </w:rPr>
        <w:t xml:space="preserve">Comisiei Permanente </w:t>
      </w:r>
      <w:r w:rsidR="00162475" w:rsidRPr="00A83524">
        <w:rPr>
          <w:rFonts w:cs="Arial"/>
        </w:rPr>
        <w:t>din 18.04.2018</w:t>
      </w:r>
      <w:r w:rsidR="008F4DD0" w:rsidRPr="00A83524">
        <w:rPr>
          <w:rFonts w:cs="Arial"/>
        </w:rPr>
        <w:t>:</w:t>
      </w:r>
      <w:r w:rsidR="00162475" w:rsidRPr="00A83524">
        <w:rPr>
          <w:rFonts w:cs="Arial"/>
        </w:rPr>
        <w:t xml:space="preserve"> „</w:t>
      </w:r>
      <w:r w:rsidR="00162475" w:rsidRPr="00A83524">
        <w:rPr>
          <w:rFonts w:cs="Arial"/>
          <w:i/>
        </w:rPr>
        <w:t>realizarea</w:t>
      </w:r>
      <w:r w:rsidR="00A83524">
        <w:rPr>
          <w:rFonts w:cs="Arial"/>
          <w:i/>
        </w:rPr>
        <w:t xml:space="preserve"> </w:t>
      </w:r>
      <w:r w:rsidR="00162475" w:rsidRPr="00A83524">
        <w:rPr>
          <w:rFonts w:cs="Arial"/>
          <w:i/>
        </w:rPr>
        <w:t xml:space="preserve">înregistrării </w:t>
      </w:r>
      <w:r w:rsidR="00E75C1E" w:rsidRPr="00A83524">
        <w:rPr>
          <w:rFonts w:cs="Arial"/>
          <w:i/>
        </w:rPr>
        <w:t>(</w:t>
      </w:r>
      <w:r w:rsidR="00162475" w:rsidRPr="00A83524">
        <w:rPr>
          <w:rFonts w:cs="Arial"/>
          <w:i/>
        </w:rPr>
        <w:t>se face</w:t>
      </w:r>
      <w:r w:rsidR="00E75C1E" w:rsidRPr="00A83524">
        <w:rPr>
          <w:rFonts w:cs="Arial"/>
          <w:i/>
        </w:rPr>
        <w:t>)</w:t>
      </w:r>
      <w:r w:rsidR="00162475" w:rsidRPr="00A83524">
        <w:rPr>
          <w:rFonts w:cs="Arial"/>
          <w:i/>
        </w:rPr>
        <w:t xml:space="preserve"> exclusiv pentru uz intern, pentru realizarea detaliată a procesului-verbal de 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>edință, care nu poate fi folosită de membrii organelor centrale ale profesiei de avocat, procesul-verbal fiind singurul document instituțional al profesiei de avocat, potrivit legii</w:t>
      </w:r>
      <w:r w:rsidR="00162475" w:rsidRPr="00A83524">
        <w:rPr>
          <w:rFonts w:cs="Arial"/>
        </w:rPr>
        <w:t xml:space="preserve">” </w:t>
      </w:r>
      <w:r w:rsidR="00A83524">
        <w:rPr>
          <w:rFonts w:cs="Arial"/>
        </w:rPr>
        <w:t>ș</w:t>
      </w:r>
      <w:r w:rsidR="00162475" w:rsidRPr="00A83524">
        <w:rPr>
          <w:rFonts w:cs="Arial"/>
        </w:rPr>
        <w:t xml:space="preserve">i </w:t>
      </w:r>
      <w:r w:rsidR="008F4DD0" w:rsidRPr="00A83524">
        <w:rPr>
          <w:rFonts w:cs="Arial"/>
        </w:rPr>
        <w:t xml:space="preserve">în </w:t>
      </w:r>
      <w:r w:rsidR="00A83524">
        <w:rPr>
          <w:rFonts w:cs="Arial"/>
        </w:rPr>
        <w:t>ș</w:t>
      </w:r>
      <w:r w:rsidR="008F4DD0" w:rsidRPr="00A83524">
        <w:rPr>
          <w:rFonts w:cs="Arial"/>
        </w:rPr>
        <w:t xml:space="preserve">edința Consiliului UNBR din 24-25.08.2018: </w:t>
      </w:r>
      <w:r w:rsidR="00162475" w:rsidRPr="00A83524">
        <w:rPr>
          <w:rFonts w:cs="Arial"/>
        </w:rPr>
        <w:t>„</w:t>
      </w:r>
      <w:r w:rsidR="00E75C1E" w:rsidRPr="00A83524">
        <w:rPr>
          <w:rFonts w:cs="Arial"/>
          <w:i/>
        </w:rPr>
        <w:t xml:space="preserve">din </w:t>
      </w:r>
      <w:r w:rsidR="00162475" w:rsidRPr="00A83524">
        <w:rPr>
          <w:rFonts w:cs="Arial"/>
          <w:i/>
        </w:rPr>
        <w:t xml:space="preserve">punct de vedere tehnic, din considerente care țin exclusiv de întocmirea procesului-verbal, 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 xml:space="preserve">edința se înregistrează. </w:t>
      </w:r>
      <w:r w:rsidR="00E75C1E" w:rsidRPr="00A83524">
        <w:rPr>
          <w:rFonts w:cs="Arial"/>
          <w:i/>
        </w:rPr>
        <w:t>...</w:t>
      </w:r>
      <w:r w:rsidR="00162475" w:rsidRPr="00A83524">
        <w:rPr>
          <w:rFonts w:cs="Arial"/>
          <w:i/>
        </w:rPr>
        <w:t xml:space="preserve"> înregistrarea este folosită, potrivit deciziei Comisiei Permanente, exclusiv pentru întocmirea procesului-verbal, iar, odată cu întocmirea procesului-verbal 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 xml:space="preserve">i aprobarea lui de către Consiliul Uniunii, înregistrările nu mai au niciun efect 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>i nu pot fi folosite împotriva sau în legătură cu desfă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 xml:space="preserve">urarea </w:t>
      </w:r>
      <w:r w:rsidR="00A83524">
        <w:rPr>
          <w:rFonts w:cs="Arial"/>
          <w:i/>
        </w:rPr>
        <w:t>ș</w:t>
      </w:r>
      <w:r w:rsidR="00162475" w:rsidRPr="00A83524">
        <w:rPr>
          <w:rFonts w:cs="Arial"/>
          <w:i/>
        </w:rPr>
        <w:t xml:space="preserve">edințelor Consiliului sau ale Comisiei Permanente, </w:t>
      </w:r>
      <w:r w:rsidR="007B29D0" w:rsidRPr="00A83524">
        <w:rPr>
          <w:rFonts w:cs="Arial"/>
          <w:i/>
        </w:rPr>
        <w:t xml:space="preserve">decât în legătură cu această validare a proceselor-verbale”, adică în procedura de validare a acestora </w:t>
      </w:r>
      <w:r w:rsidR="008F4DD0" w:rsidRPr="00A83524">
        <w:rPr>
          <w:rFonts w:cs="Arial"/>
          <w:i/>
        </w:rPr>
        <w:t>(</w:t>
      </w:r>
      <w:r w:rsidR="0027373F" w:rsidRPr="00A83524">
        <w:rPr>
          <w:rFonts w:cs="Arial"/>
          <w:i/>
        </w:rPr>
        <w:t>a se vedea Buletinul Informativ publicat pe site-ul UNBR).</w:t>
      </w:r>
    </w:p>
    <w:p w14:paraId="34AFB0D9" w14:textId="77777777" w:rsidR="00162475" w:rsidRPr="00A83524" w:rsidRDefault="00162475" w:rsidP="00164773">
      <w:pPr>
        <w:spacing w:line="276" w:lineRule="auto"/>
        <w:ind w:firstLine="708"/>
        <w:jc w:val="both"/>
        <w:rPr>
          <w:rFonts w:cs="Arial"/>
        </w:rPr>
      </w:pPr>
    </w:p>
    <w:p w14:paraId="5320514C" w14:textId="77777777" w:rsidR="00616C17" w:rsidRPr="00A83524" w:rsidRDefault="00A15711" w:rsidP="007B29D0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>6</w:t>
      </w:r>
      <w:r w:rsidR="000E3DF5" w:rsidRPr="00A83524">
        <w:rPr>
          <w:rFonts w:cs="Arial"/>
        </w:rPr>
        <w:t>.</w:t>
      </w:r>
      <w:r w:rsidR="00FB00AF" w:rsidRPr="00A83524">
        <w:rPr>
          <w:rFonts w:cs="Arial"/>
        </w:rPr>
        <w:t xml:space="preserve"> Comisia Permanentă a analizat </w:t>
      </w:r>
      <w:r w:rsidR="00616C17" w:rsidRPr="00A83524">
        <w:rPr>
          <w:rFonts w:cs="Arial"/>
        </w:rPr>
        <w:t xml:space="preserve">calendarul activităților organelor profesiei de avocat pentru 2019, astfel cum a fost adoptat prin Hotărârii Consiliului UNBR nr. 398/07-08.12.2018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i Decizia Comisiei Permanente nr. 390/20.12.2018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>i a constatat că, în Hotărârea Consiliului UNBR nr. 398/07-08.12.2018, a fost stipulat caracter</w:t>
      </w:r>
      <w:r w:rsidR="001C07DD" w:rsidRPr="00A83524">
        <w:rPr>
          <w:rFonts w:cs="Arial"/>
        </w:rPr>
        <w:t>ul</w:t>
      </w:r>
      <w:r w:rsidR="00616C17" w:rsidRPr="00A83524">
        <w:rPr>
          <w:rFonts w:cs="Arial"/>
        </w:rPr>
        <w:t xml:space="preserve"> provizoriu </w:t>
      </w:r>
      <w:r w:rsidR="001C07DD" w:rsidRPr="00A83524">
        <w:rPr>
          <w:rFonts w:cs="Arial"/>
        </w:rPr>
        <w:t xml:space="preserve">al </w:t>
      </w:r>
      <w:r w:rsidR="00616C17" w:rsidRPr="00A83524">
        <w:rPr>
          <w:rFonts w:cs="Arial"/>
        </w:rPr>
        <w:t xml:space="preserve">calendarului de lucru privind activitățile anterioare Congresului electiv al avocaților - 2019, acesta urmând a fi definitivat de Comisia Permanentă, prin delegare, pentru 2019 în prima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edință, astfel cum s-a decis în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edința de Consiliu din 07-08 decembrie 2018, în funcție de data examenului de admitere în profesie,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i de Consiliul U.N.B.R. Având în vedere că examenul de primire în profesie a fost stabilit pentru data de 03.03.2019, iar </w:t>
      </w:r>
      <w:r w:rsidR="00053F81" w:rsidRPr="00A83524">
        <w:rPr>
          <w:rFonts w:cs="Arial"/>
        </w:rPr>
        <w:t>C</w:t>
      </w:r>
      <w:r w:rsidR="00616C17" w:rsidRPr="00A83524">
        <w:rPr>
          <w:rFonts w:cs="Arial"/>
        </w:rPr>
        <w:t xml:space="preserve">omisia Permanentă nu a fost mandată de </w:t>
      </w:r>
      <w:r w:rsidR="007B29D0" w:rsidRPr="00A83524">
        <w:rPr>
          <w:rFonts w:cs="Arial"/>
        </w:rPr>
        <w:t>C</w:t>
      </w:r>
      <w:r w:rsidR="00616C17" w:rsidRPr="00A83524">
        <w:rPr>
          <w:rFonts w:cs="Arial"/>
        </w:rPr>
        <w:t xml:space="preserve">onsiliu să valideze examenul,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>edința Consiliului UNBR programată pentru luna februarie 2019 a fost mutată pentru luna martie a.c.</w:t>
      </w:r>
      <w:r w:rsidR="008F4DD0" w:rsidRPr="00A83524">
        <w:rPr>
          <w:rFonts w:cs="Arial"/>
        </w:rPr>
        <w:t>, exclusiv din rațiuni ce</w:t>
      </w:r>
      <w:r w:rsidR="007B29D0" w:rsidRPr="00A83524">
        <w:rPr>
          <w:rFonts w:cs="Arial"/>
        </w:rPr>
        <w:t xml:space="preserve"> </w:t>
      </w:r>
      <w:r w:rsidR="008F4DD0" w:rsidRPr="00A83524">
        <w:rPr>
          <w:rFonts w:cs="Arial"/>
        </w:rPr>
        <w:t>țin de validarea examenului de căt</w:t>
      </w:r>
      <w:r w:rsidR="007B29D0" w:rsidRPr="00A83524">
        <w:rPr>
          <w:rFonts w:cs="Arial"/>
        </w:rPr>
        <w:t>re</w:t>
      </w:r>
      <w:r w:rsidR="008F4DD0" w:rsidRPr="00A83524">
        <w:rPr>
          <w:rFonts w:cs="Arial"/>
        </w:rPr>
        <w:t xml:space="preserve"> </w:t>
      </w:r>
      <w:r w:rsidR="007B29D0" w:rsidRPr="00A83524">
        <w:rPr>
          <w:rFonts w:cs="Arial"/>
        </w:rPr>
        <w:t>Consiliul UNBR.</w:t>
      </w:r>
      <w:r w:rsidR="00A83524">
        <w:rPr>
          <w:rFonts w:cs="Arial"/>
        </w:rPr>
        <w:t xml:space="preserve"> </w:t>
      </w:r>
      <w:r w:rsidR="00616C17" w:rsidRPr="00A83524">
        <w:rPr>
          <w:rFonts w:cs="Arial"/>
        </w:rPr>
        <w:t>În ce prive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te organizarea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 xml:space="preserve">edinței </w:t>
      </w:r>
      <w:r w:rsidR="008F4DD0" w:rsidRPr="00A83524">
        <w:rPr>
          <w:rFonts w:cs="Arial"/>
        </w:rPr>
        <w:t>C</w:t>
      </w:r>
      <w:r w:rsidR="00616C17" w:rsidRPr="00A83524">
        <w:rPr>
          <w:rFonts w:cs="Arial"/>
        </w:rPr>
        <w:t>onsiliului UNBR în luna aprilie 2019, a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>a cum prevedea Hotărâr</w:t>
      </w:r>
      <w:r w:rsidR="007B29D0" w:rsidRPr="00A83524">
        <w:rPr>
          <w:rFonts w:cs="Arial"/>
        </w:rPr>
        <w:t>ea</w:t>
      </w:r>
      <w:r w:rsidR="00616C17" w:rsidRPr="00A83524">
        <w:rPr>
          <w:rFonts w:cs="Arial"/>
        </w:rPr>
        <w:t xml:space="preserve"> Consiliului UNBR nr. 398/07-08.12.2018, </w:t>
      </w:r>
      <w:r w:rsidR="008F4DD0" w:rsidRPr="00A83524">
        <w:rPr>
          <w:rFonts w:cs="Arial"/>
        </w:rPr>
        <w:t xml:space="preserve">s-a ținut cont de solicitarea </w:t>
      </w:r>
      <w:r w:rsidR="007B29D0" w:rsidRPr="00A83524">
        <w:rPr>
          <w:rFonts w:cs="Arial"/>
        </w:rPr>
        <w:t>Baroului Timi</w:t>
      </w:r>
      <w:r w:rsidR="00A83524">
        <w:rPr>
          <w:rFonts w:cs="Arial"/>
        </w:rPr>
        <w:t>ș</w:t>
      </w:r>
      <w:r w:rsidR="008F4DD0" w:rsidRPr="00A83524">
        <w:rPr>
          <w:rFonts w:cs="Arial"/>
        </w:rPr>
        <w:t xml:space="preserve"> priv</w:t>
      </w:r>
      <w:r w:rsidR="007B29D0" w:rsidRPr="00A83524">
        <w:rPr>
          <w:rFonts w:cs="Arial"/>
        </w:rPr>
        <w:t>ind organizarea unei competiții de fotbal</w:t>
      </w:r>
      <w:r w:rsidR="008F4DD0" w:rsidRPr="00A83524">
        <w:rPr>
          <w:rFonts w:cs="Arial"/>
        </w:rPr>
        <w:t xml:space="preserve">. </w:t>
      </w:r>
      <w:r w:rsidR="00616C17" w:rsidRPr="00A83524">
        <w:rPr>
          <w:rFonts w:cs="Arial"/>
        </w:rPr>
        <w:t xml:space="preserve">Consiliul UNBR va decide în </w:t>
      </w:r>
      <w:r w:rsidR="00A83524">
        <w:rPr>
          <w:rFonts w:cs="Arial"/>
        </w:rPr>
        <w:t>ș</w:t>
      </w:r>
      <w:r w:rsidR="00616C17" w:rsidRPr="00A83524">
        <w:rPr>
          <w:rFonts w:cs="Arial"/>
        </w:rPr>
        <w:t>edința din 23.03.2019</w:t>
      </w:r>
      <w:r w:rsidR="008F4DD0" w:rsidRPr="00A83524">
        <w:rPr>
          <w:rFonts w:cs="Arial"/>
        </w:rPr>
        <w:t xml:space="preserve"> cu pri</w:t>
      </w:r>
      <w:r w:rsidR="007B29D0" w:rsidRPr="00A83524">
        <w:rPr>
          <w:rFonts w:cs="Arial"/>
        </w:rPr>
        <w:t xml:space="preserve">vire la </w:t>
      </w:r>
      <w:r w:rsidR="008F4DD0" w:rsidRPr="00A83524">
        <w:rPr>
          <w:rFonts w:cs="Arial"/>
        </w:rPr>
        <w:t>progr</w:t>
      </w:r>
      <w:r w:rsidR="007B29D0" w:rsidRPr="00A83524">
        <w:rPr>
          <w:rFonts w:cs="Arial"/>
        </w:rPr>
        <w:t xml:space="preserve">amul de activități anterioare congresului electiv. </w:t>
      </w:r>
      <w:r w:rsidR="008F4DD0" w:rsidRPr="00A83524">
        <w:rPr>
          <w:rFonts w:cs="Arial"/>
        </w:rPr>
        <w:t>Urmează a se</w:t>
      </w:r>
      <w:r w:rsidR="00F1735A" w:rsidRPr="00A83524">
        <w:rPr>
          <w:rFonts w:cs="Arial"/>
        </w:rPr>
        <w:t xml:space="preserve"> comunica Baroului Dolj soluția Comisiei Permanente.</w:t>
      </w:r>
    </w:p>
    <w:p w14:paraId="19DBA0A3" w14:textId="77777777" w:rsidR="00162475" w:rsidRPr="00A83524" w:rsidRDefault="00162475" w:rsidP="00164773">
      <w:pPr>
        <w:spacing w:line="276" w:lineRule="auto"/>
        <w:ind w:firstLine="708"/>
        <w:jc w:val="both"/>
        <w:rPr>
          <w:rFonts w:cs="Arial"/>
        </w:rPr>
      </w:pPr>
    </w:p>
    <w:p w14:paraId="19AE4065" w14:textId="053A9812" w:rsidR="004E1558" w:rsidRPr="00A83524" w:rsidRDefault="004E1558" w:rsidP="00164773">
      <w:pPr>
        <w:spacing w:line="276" w:lineRule="auto"/>
        <w:jc w:val="both"/>
        <w:rPr>
          <w:rFonts w:cs="Arial"/>
        </w:rPr>
      </w:pPr>
      <w:r w:rsidRPr="00A83524">
        <w:rPr>
          <w:rFonts w:cs="Arial"/>
        </w:rPr>
        <w:tab/>
      </w:r>
      <w:r w:rsidR="00A15711" w:rsidRPr="00A83524">
        <w:rPr>
          <w:rFonts w:cs="Arial"/>
        </w:rPr>
        <w:t>7</w:t>
      </w:r>
      <w:r w:rsidRPr="00A83524">
        <w:rPr>
          <w:rFonts w:cs="Arial"/>
        </w:rPr>
        <w:t xml:space="preserve">. </w:t>
      </w:r>
      <w:r w:rsidR="003676B2" w:rsidRPr="00A83524">
        <w:rPr>
          <w:rFonts w:cs="Arial"/>
        </w:rPr>
        <w:t xml:space="preserve">În legătură cu cererea Baroului </w:t>
      </w:r>
      <w:r w:rsidR="0026360F" w:rsidRPr="00A83524">
        <w:rPr>
          <w:rFonts w:cs="Arial"/>
        </w:rPr>
        <w:t>D</w:t>
      </w:r>
      <w:r w:rsidR="003676B2" w:rsidRPr="00A83524">
        <w:rPr>
          <w:rFonts w:cs="Arial"/>
        </w:rPr>
        <w:t xml:space="preserve">olj privind comunicarea </w:t>
      </w:r>
      <w:r w:rsidR="008F4DD0" w:rsidRPr="00A83524">
        <w:rPr>
          <w:rFonts w:cs="Arial"/>
        </w:rPr>
        <w:t xml:space="preserve">proiectului </w:t>
      </w:r>
      <w:r w:rsidR="003676B2" w:rsidRPr="00A83524">
        <w:rPr>
          <w:rFonts w:cs="Arial"/>
        </w:rPr>
        <w:t xml:space="preserve">procesului-verbal al </w:t>
      </w:r>
      <w:r w:rsidR="00A83524">
        <w:rPr>
          <w:rFonts w:cs="Arial"/>
        </w:rPr>
        <w:t>ș</w:t>
      </w:r>
      <w:r w:rsidR="003676B2" w:rsidRPr="00A83524">
        <w:rPr>
          <w:rFonts w:cs="Arial"/>
        </w:rPr>
        <w:t>edinței Consiliului UNBR din 07-08.12.2018</w:t>
      </w:r>
      <w:r w:rsidR="0026360F" w:rsidRPr="00A83524">
        <w:rPr>
          <w:rFonts w:cs="Arial"/>
        </w:rPr>
        <w:t>, Comisia</w:t>
      </w:r>
      <w:r w:rsidR="006805E8">
        <w:rPr>
          <w:rFonts w:cs="Arial"/>
        </w:rPr>
        <w:t xml:space="preserve"> </w:t>
      </w:r>
      <w:r w:rsidR="0026360F" w:rsidRPr="00A83524">
        <w:rPr>
          <w:rFonts w:cs="Arial"/>
        </w:rPr>
        <w:t xml:space="preserve">Permanentă </w:t>
      </w:r>
      <w:r w:rsidR="003676B2" w:rsidRPr="00A83524">
        <w:rPr>
          <w:rFonts w:cs="Arial"/>
        </w:rPr>
        <w:t xml:space="preserve">a decis că </w:t>
      </w:r>
      <w:r w:rsidR="0026360F" w:rsidRPr="00A83524">
        <w:rPr>
          <w:rFonts w:cs="Arial"/>
        </w:rPr>
        <w:t>acesta</w:t>
      </w:r>
      <w:r w:rsidR="003676B2" w:rsidRPr="00A83524">
        <w:rPr>
          <w:rFonts w:cs="Arial"/>
        </w:rPr>
        <w:t xml:space="preserve"> să fie finalizat </w:t>
      </w:r>
      <w:r w:rsidR="008F4DD0" w:rsidRPr="00A83524">
        <w:rPr>
          <w:rFonts w:cs="Arial"/>
        </w:rPr>
        <w:t xml:space="preserve">în termen util pentru a </w:t>
      </w:r>
      <w:r w:rsidR="003676B2" w:rsidRPr="00A83524">
        <w:rPr>
          <w:rFonts w:cs="Arial"/>
        </w:rPr>
        <w:t>putea fi comunicat membrilor Consiliului UNBR</w:t>
      </w:r>
      <w:r w:rsidR="0027373F" w:rsidRPr="00A83524">
        <w:rPr>
          <w:rFonts w:cs="Arial"/>
        </w:rPr>
        <w:t xml:space="preserve"> spre dezb</w:t>
      </w:r>
      <w:r w:rsidR="007B29D0" w:rsidRPr="00A83524">
        <w:rPr>
          <w:rFonts w:cs="Arial"/>
        </w:rPr>
        <w:t>atere</w:t>
      </w:r>
      <w:r w:rsidR="0027373F" w:rsidRPr="00A83524">
        <w:rPr>
          <w:rFonts w:cs="Arial"/>
        </w:rPr>
        <w:t xml:space="preserve"> în proced</w:t>
      </w:r>
      <w:r w:rsidR="007B29D0" w:rsidRPr="00A83524">
        <w:rPr>
          <w:rFonts w:cs="Arial"/>
        </w:rPr>
        <w:t>ura</w:t>
      </w:r>
      <w:r w:rsidR="0027373F" w:rsidRPr="00A83524">
        <w:rPr>
          <w:rFonts w:cs="Arial"/>
        </w:rPr>
        <w:t xml:space="preserve"> de valid</w:t>
      </w:r>
      <w:r w:rsidR="007B29D0" w:rsidRPr="00A83524">
        <w:rPr>
          <w:rFonts w:cs="Arial"/>
        </w:rPr>
        <w:t>are</w:t>
      </w:r>
      <w:r w:rsidR="0026360F" w:rsidRPr="00A83524">
        <w:rPr>
          <w:rFonts w:cs="Arial"/>
        </w:rPr>
        <w:t>.</w:t>
      </w:r>
    </w:p>
    <w:p w14:paraId="4CE9187D" w14:textId="77777777" w:rsidR="004E1558" w:rsidRPr="00A83524" w:rsidRDefault="004E1558" w:rsidP="00164773">
      <w:pPr>
        <w:spacing w:line="276" w:lineRule="auto"/>
        <w:jc w:val="both"/>
        <w:rPr>
          <w:rFonts w:cs="Arial"/>
        </w:rPr>
      </w:pPr>
    </w:p>
    <w:p w14:paraId="255D5D49" w14:textId="77777777" w:rsidR="00C13284" w:rsidRPr="00A83524" w:rsidRDefault="001C07DD" w:rsidP="001A5FEB">
      <w:pPr>
        <w:spacing w:line="276" w:lineRule="auto"/>
        <w:ind w:firstLine="708"/>
        <w:jc w:val="both"/>
        <w:rPr>
          <w:rFonts w:cs="Arial"/>
        </w:rPr>
      </w:pPr>
      <w:r w:rsidRPr="00A83524">
        <w:rPr>
          <w:rFonts w:cs="Arial"/>
        </w:rPr>
        <w:t>8</w:t>
      </w:r>
      <w:r w:rsidR="00F1735A" w:rsidRPr="00A83524">
        <w:rPr>
          <w:rFonts w:cs="Arial"/>
        </w:rPr>
        <w:t xml:space="preserve">. </w:t>
      </w:r>
      <w:r w:rsidR="00FD43A3" w:rsidRPr="00A83524">
        <w:rPr>
          <w:rFonts w:cs="Arial"/>
        </w:rPr>
        <w:t xml:space="preserve">Comisia Permanentă a </w:t>
      </w:r>
      <w:r w:rsidRPr="00A83524">
        <w:rPr>
          <w:rFonts w:cs="Arial"/>
        </w:rPr>
        <w:t xml:space="preserve">dezbătut lucrările aflate pe Tabelul de lucrări al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edinței </w:t>
      </w:r>
      <w:r w:rsidR="00A83524">
        <w:rPr>
          <w:rFonts w:cs="Arial"/>
        </w:rPr>
        <w:t>ș</w:t>
      </w:r>
      <w:r w:rsidRPr="00A83524">
        <w:rPr>
          <w:rFonts w:cs="Arial"/>
        </w:rPr>
        <w:t xml:space="preserve">i a adoptat măsurile corespunzătoare. </w:t>
      </w:r>
    </w:p>
    <w:p w14:paraId="09D08640" w14:textId="77777777" w:rsidR="00C13284" w:rsidRPr="00A83524" w:rsidRDefault="00C13284" w:rsidP="001A5FEB">
      <w:pPr>
        <w:spacing w:line="276" w:lineRule="auto"/>
        <w:ind w:firstLine="708"/>
        <w:jc w:val="both"/>
        <w:rPr>
          <w:rFonts w:cs="Arial"/>
        </w:rPr>
      </w:pPr>
    </w:p>
    <w:p w14:paraId="4073673C" w14:textId="77777777" w:rsidR="001A33EC" w:rsidRPr="00A83524" w:rsidRDefault="001A33EC" w:rsidP="00164773">
      <w:pPr>
        <w:spacing w:line="276" w:lineRule="auto"/>
        <w:jc w:val="both"/>
        <w:rPr>
          <w:rFonts w:cs="Arial"/>
        </w:rPr>
      </w:pPr>
    </w:p>
    <w:p w14:paraId="264C348D" w14:textId="77777777" w:rsidR="004E1558" w:rsidRPr="00A83524" w:rsidRDefault="004E1558" w:rsidP="00164773">
      <w:pPr>
        <w:spacing w:line="276" w:lineRule="auto"/>
        <w:jc w:val="both"/>
        <w:rPr>
          <w:rFonts w:cs="Arial"/>
        </w:rPr>
      </w:pPr>
    </w:p>
    <w:p w14:paraId="5488D133" w14:textId="77777777" w:rsidR="004E1558" w:rsidRPr="00A83524" w:rsidRDefault="004E1558" w:rsidP="00164773">
      <w:pPr>
        <w:spacing w:line="276" w:lineRule="auto"/>
        <w:jc w:val="center"/>
        <w:rPr>
          <w:rFonts w:cs="Arial"/>
          <w:b/>
          <w:i/>
          <w:sz w:val="28"/>
          <w:szCs w:val="28"/>
        </w:rPr>
      </w:pPr>
      <w:r w:rsidRPr="00A83524">
        <w:rPr>
          <w:rFonts w:cs="Arial"/>
          <w:b/>
          <w:sz w:val="28"/>
          <w:szCs w:val="28"/>
        </w:rPr>
        <w:t>COMISIA PERMANENTĂ</w:t>
      </w:r>
    </w:p>
    <w:sectPr w:rsidR="004E1558" w:rsidRPr="00A83524" w:rsidSect="00A1005C">
      <w:footerReference w:type="default" r:id="rId8"/>
      <w:headerReference w:type="first" r:id="rId9"/>
      <w:footerReference w:type="first" r:id="rId10"/>
      <w:pgSz w:w="11906" w:h="16838" w:code="9"/>
      <w:pgMar w:top="899" w:right="1274" w:bottom="454" w:left="1560" w:header="709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46125" w14:textId="77777777" w:rsidR="00134873" w:rsidRDefault="00134873">
      <w:r>
        <w:separator/>
      </w:r>
    </w:p>
  </w:endnote>
  <w:endnote w:type="continuationSeparator" w:id="0">
    <w:p w14:paraId="4E3BE199" w14:textId="77777777" w:rsidR="00134873" w:rsidRDefault="00134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E7269" w14:textId="77777777" w:rsidR="004E1558" w:rsidRDefault="004E15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8121E">
      <w:rPr>
        <w:noProof/>
      </w:rPr>
      <w:t>2</w:t>
    </w:r>
    <w:r>
      <w:fldChar w:fldCharType="end"/>
    </w:r>
  </w:p>
  <w:p w14:paraId="4E07FAAA" w14:textId="77777777" w:rsidR="004E1558" w:rsidRDefault="004E15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EF43C" w14:textId="77777777" w:rsidR="004E1558" w:rsidRPr="00047A64" w:rsidRDefault="004E1558" w:rsidP="004E1558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Palatul de Justiție, Bucure</w:t>
    </w:r>
    <w:r w:rsidR="00A83524">
      <w:rPr>
        <w:rFonts w:ascii="Calibri Light" w:hAnsi="Calibri Light"/>
        <w:color w:val="800000"/>
        <w:sz w:val="20"/>
        <w:szCs w:val="20"/>
      </w:rPr>
      <w:t>ș</w:t>
    </w:r>
    <w:r w:rsidRPr="00047A64">
      <w:rPr>
        <w:rFonts w:ascii="Calibri Light" w:hAnsi="Calibri Light"/>
        <w:color w:val="800000"/>
        <w:sz w:val="20"/>
        <w:szCs w:val="20"/>
      </w:rPr>
      <w:t>ti, Sector 5, Splaiul Independenței nr. 5, Cod po</w:t>
    </w:r>
    <w:r w:rsidR="00A83524">
      <w:rPr>
        <w:rFonts w:ascii="Calibri Light" w:hAnsi="Calibri Light"/>
        <w:color w:val="800000"/>
        <w:sz w:val="20"/>
        <w:szCs w:val="20"/>
      </w:rPr>
      <w:t>ș</w:t>
    </w:r>
    <w:r w:rsidRPr="00047A64">
      <w:rPr>
        <w:rFonts w:ascii="Calibri Light" w:hAnsi="Calibri Light"/>
        <w:color w:val="800000"/>
        <w:sz w:val="20"/>
        <w:szCs w:val="20"/>
      </w:rPr>
      <w:t>tal 050091</w:t>
    </w:r>
  </w:p>
  <w:p w14:paraId="5FAC72F1" w14:textId="77777777" w:rsidR="004E1558" w:rsidRPr="00047A64" w:rsidRDefault="004E1558" w:rsidP="004E1558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Tel: (+4) 021/316-0739; 316-0740; 313-4875; Fax: (+4) 021/313-4880;</w:t>
    </w:r>
  </w:p>
  <w:p w14:paraId="75C27CE3" w14:textId="77777777" w:rsidR="004E1558" w:rsidRDefault="004E1558" w:rsidP="004E1558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047A64">
      <w:rPr>
        <w:rFonts w:ascii="Calibri Light" w:hAnsi="Calibri Light"/>
        <w:color w:val="800000"/>
        <w:sz w:val="20"/>
        <w:szCs w:val="20"/>
      </w:rPr>
      <w:t>E-mail: unbr@unbr.ro; Website: www.unbr.ro</w:t>
    </w:r>
  </w:p>
  <w:p w14:paraId="413DFB8A" w14:textId="77777777" w:rsidR="004E1558" w:rsidRPr="006101BC" w:rsidRDefault="004E1558" w:rsidP="004E1558">
    <w:pPr>
      <w:pStyle w:val="Footer"/>
      <w:jc w:val="center"/>
      <w:rPr>
        <w:rFonts w:ascii="Calibri Light" w:hAnsi="Calibri Light"/>
        <w:color w:val="800000"/>
        <w:sz w:val="20"/>
        <w:szCs w:val="20"/>
      </w:rPr>
    </w:pPr>
    <w:r w:rsidRPr="006101BC">
      <w:rPr>
        <w:rFonts w:ascii="Calibri Light" w:hAnsi="Calibri Light"/>
        <w:color w:val="800000"/>
        <w:sz w:val="20"/>
        <w:szCs w:val="20"/>
      </w:rPr>
      <w:t>U.N.B.R. este operator de date personale înregistrat sub nr.: 34779, 34781, 34782, 34783.</w:t>
    </w:r>
  </w:p>
  <w:p w14:paraId="01E7A658" w14:textId="77777777" w:rsidR="004E1558" w:rsidRDefault="004E15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F35BA" w14:textId="77777777" w:rsidR="00134873" w:rsidRDefault="00134873">
      <w:r>
        <w:separator/>
      </w:r>
    </w:p>
  </w:footnote>
  <w:footnote w:type="continuationSeparator" w:id="0">
    <w:p w14:paraId="4DA04E2C" w14:textId="77777777" w:rsidR="00134873" w:rsidRDefault="00134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6377F" w14:textId="77777777" w:rsidR="004E1558" w:rsidRDefault="006805E8" w:rsidP="004E1558">
    <w:pPr>
      <w:pStyle w:val="Header"/>
      <w:tabs>
        <w:tab w:val="clear" w:pos="9406"/>
        <w:tab w:val="right" w:pos="9072"/>
      </w:tabs>
    </w:pPr>
    <w:r>
      <w:rPr>
        <w:noProof/>
        <w:lang w:eastAsia="ro-RO"/>
      </w:rPr>
      <w:pict w14:anchorId="50574E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5" type="#_x0000_t75" style="width:450pt;height:92.1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F2DD8"/>
    <w:multiLevelType w:val="hybridMultilevel"/>
    <w:tmpl w:val="89D05730"/>
    <w:lvl w:ilvl="0" w:tplc="40AED12E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B87775D"/>
    <w:multiLevelType w:val="hybridMultilevel"/>
    <w:tmpl w:val="68867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51222"/>
    <w:multiLevelType w:val="hybridMultilevel"/>
    <w:tmpl w:val="16726E5C"/>
    <w:lvl w:ilvl="0" w:tplc="38441A4A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1558"/>
    <w:rsid w:val="00000139"/>
    <w:rsid w:val="00026785"/>
    <w:rsid w:val="00034D4F"/>
    <w:rsid w:val="000356F4"/>
    <w:rsid w:val="00051CAE"/>
    <w:rsid w:val="00053F81"/>
    <w:rsid w:val="00092ACE"/>
    <w:rsid w:val="000A73D3"/>
    <w:rsid w:val="000E3DF5"/>
    <w:rsid w:val="000F2D28"/>
    <w:rsid w:val="00100EFC"/>
    <w:rsid w:val="0010136C"/>
    <w:rsid w:val="00115439"/>
    <w:rsid w:val="00132A57"/>
    <w:rsid w:val="00134698"/>
    <w:rsid w:val="00134873"/>
    <w:rsid w:val="0015692B"/>
    <w:rsid w:val="00162475"/>
    <w:rsid w:val="00164773"/>
    <w:rsid w:val="0018436D"/>
    <w:rsid w:val="00185094"/>
    <w:rsid w:val="0019659C"/>
    <w:rsid w:val="001A33EC"/>
    <w:rsid w:val="001A5FEB"/>
    <w:rsid w:val="001C0521"/>
    <w:rsid w:val="001C07DD"/>
    <w:rsid w:val="001E7884"/>
    <w:rsid w:val="001F1420"/>
    <w:rsid w:val="001F76FD"/>
    <w:rsid w:val="00210D37"/>
    <w:rsid w:val="00215ED3"/>
    <w:rsid w:val="00216065"/>
    <w:rsid w:val="00226DF2"/>
    <w:rsid w:val="00231D20"/>
    <w:rsid w:val="0026360F"/>
    <w:rsid w:val="0027373F"/>
    <w:rsid w:val="00276864"/>
    <w:rsid w:val="00280970"/>
    <w:rsid w:val="002B4B20"/>
    <w:rsid w:val="002F2CFA"/>
    <w:rsid w:val="003053B3"/>
    <w:rsid w:val="0030738A"/>
    <w:rsid w:val="00314F42"/>
    <w:rsid w:val="0032273E"/>
    <w:rsid w:val="00355A57"/>
    <w:rsid w:val="003676B2"/>
    <w:rsid w:val="00380DE6"/>
    <w:rsid w:val="003A20ED"/>
    <w:rsid w:val="003B2E18"/>
    <w:rsid w:val="00416BDD"/>
    <w:rsid w:val="00423D97"/>
    <w:rsid w:val="00426097"/>
    <w:rsid w:val="004377BF"/>
    <w:rsid w:val="00454C6B"/>
    <w:rsid w:val="00472AD2"/>
    <w:rsid w:val="004757AC"/>
    <w:rsid w:val="00483744"/>
    <w:rsid w:val="004C6C56"/>
    <w:rsid w:val="004D7A8B"/>
    <w:rsid w:val="004E1558"/>
    <w:rsid w:val="005300E8"/>
    <w:rsid w:val="00570FAE"/>
    <w:rsid w:val="00576262"/>
    <w:rsid w:val="0057661A"/>
    <w:rsid w:val="0058121E"/>
    <w:rsid w:val="006019B9"/>
    <w:rsid w:val="00604DF9"/>
    <w:rsid w:val="006116D7"/>
    <w:rsid w:val="00615112"/>
    <w:rsid w:val="00615A65"/>
    <w:rsid w:val="00616C17"/>
    <w:rsid w:val="006235B7"/>
    <w:rsid w:val="0067768D"/>
    <w:rsid w:val="006805E8"/>
    <w:rsid w:val="006E25FA"/>
    <w:rsid w:val="006F6D8D"/>
    <w:rsid w:val="00724C2D"/>
    <w:rsid w:val="007306EC"/>
    <w:rsid w:val="00732A3D"/>
    <w:rsid w:val="007449C6"/>
    <w:rsid w:val="00746A6B"/>
    <w:rsid w:val="0078239C"/>
    <w:rsid w:val="007938F3"/>
    <w:rsid w:val="007B29D0"/>
    <w:rsid w:val="007E216E"/>
    <w:rsid w:val="007F2377"/>
    <w:rsid w:val="00827F69"/>
    <w:rsid w:val="00830B90"/>
    <w:rsid w:val="008464D2"/>
    <w:rsid w:val="00855187"/>
    <w:rsid w:val="0089755F"/>
    <w:rsid w:val="008B5B36"/>
    <w:rsid w:val="008B74A5"/>
    <w:rsid w:val="008C19DE"/>
    <w:rsid w:val="008F4DD0"/>
    <w:rsid w:val="009064C8"/>
    <w:rsid w:val="00914A2D"/>
    <w:rsid w:val="009540CE"/>
    <w:rsid w:val="009C0ED9"/>
    <w:rsid w:val="009E52B0"/>
    <w:rsid w:val="00A1005C"/>
    <w:rsid w:val="00A15229"/>
    <w:rsid w:val="00A15711"/>
    <w:rsid w:val="00A451B9"/>
    <w:rsid w:val="00A51BF3"/>
    <w:rsid w:val="00A83524"/>
    <w:rsid w:val="00A971CA"/>
    <w:rsid w:val="00AA1B90"/>
    <w:rsid w:val="00AC2445"/>
    <w:rsid w:val="00AE08F3"/>
    <w:rsid w:val="00AE0B12"/>
    <w:rsid w:val="00B04073"/>
    <w:rsid w:val="00B1072A"/>
    <w:rsid w:val="00B12626"/>
    <w:rsid w:val="00B12C39"/>
    <w:rsid w:val="00B27A34"/>
    <w:rsid w:val="00B3134B"/>
    <w:rsid w:val="00B41EA4"/>
    <w:rsid w:val="00B65515"/>
    <w:rsid w:val="00B7151F"/>
    <w:rsid w:val="00B74973"/>
    <w:rsid w:val="00B831D7"/>
    <w:rsid w:val="00B86AA8"/>
    <w:rsid w:val="00B93476"/>
    <w:rsid w:val="00B96F8F"/>
    <w:rsid w:val="00C043F7"/>
    <w:rsid w:val="00C13284"/>
    <w:rsid w:val="00C5300F"/>
    <w:rsid w:val="00C704A4"/>
    <w:rsid w:val="00C70B60"/>
    <w:rsid w:val="00CA16F2"/>
    <w:rsid w:val="00CB58C9"/>
    <w:rsid w:val="00CF46AA"/>
    <w:rsid w:val="00D14602"/>
    <w:rsid w:val="00D15F6A"/>
    <w:rsid w:val="00D7272C"/>
    <w:rsid w:val="00D94C1D"/>
    <w:rsid w:val="00DA2971"/>
    <w:rsid w:val="00DA5F13"/>
    <w:rsid w:val="00E32561"/>
    <w:rsid w:val="00E41F31"/>
    <w:rsid w:val="00E74489"/>
    <w:rsid w:val="00E75C1E"/>
    <w:rsid w:val="00EB4F30"/>
    <w:rsid w:val="00ED5E82"/>
    <w:rsid w:val="00F01E0C"/>
    <w:rsid w:val="00F15650"/>
    <w:rsid w:val="00F1735A"/>
    <w:rsid w:val="00F40826"/>
    <w:rsid w:val="00F708E8"/>
    <w:rsid w:val="00F749C6"/>
    <w:rsid w:val="00F96DA2"/>
    <w:rsid w:val="00FB00AF"/>
    <w:rsid w:val="00FD2DB5"/>
    <w:rsid w:val="00FD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563BF75"/>
  <w15:chartTrackingRefBased/>
  <w15:docId w15:val="{0EE05F04-3DC4-4AD7-A088-0CC452FA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E1558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E155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4E1558"/>
    <w:rPr>
      <w:rFonts w:ascii="Arial" w:hAnsi="Arial"/>
      <w:sz w:val="24"/>
      <w:szCs w:val="24"/>
      <w:lang w:val="ro-RO" w:eastAsia="en-US" w:bidi="ar-SA"/>
    </w:rPr>
  </w:style>
  <w:style w:type="paragraph" w:styleId="Footer">
    <w:name w:val="footer"/>
    <w:basedOn w:val="Normal"/>
    <w:link w:val="FooterChar"/>
    <w:rsid w:val="004E155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locked/>
    <w:rsid w:val="004E1558"/>
    <w:rPr>
      <w:rFonts w:ascii="Arial" w:hAnsi="Arial"/>
      <w:sz w:val="24"/>
      <w:szCs w:val="24"/>
      <w:lang w:val="ro-RO" w:eastAsia="en-US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9659C"/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19659C"/>
    <w:rPr>
      <w:rFonts w:ascii="Calibri" w:eastAsia="Calibri" w:hAnsi="Calibri"/>
      <w:lang w:val="en-US" w:eastAsia="en-US"/>
    </w:rPr>
  </w:style>
  <w:style w:type="paragraph" w:styleId="ListParagraph">
    <w:name w:val="List Paragraph"/>
    <w:basedOn w:val="Normal"/>
    <w:uiPriority w:val="34"/>
    <w:qFormat/>
    <w:rsid w:val="0019659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FootnoteReference">
    <w:name w:val="footnote reference"/>
    <w:uiPriority w:val="99"/>
    <w:unhideWhenUsed/>
    <w:rsid w:val="0019659C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8B74A5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8B74A5"/>
    <w:rPr>
      <w:rFonts w:ascii="Calibri" w:eastAsia="Calibri" w:hAnsi="Calibr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79052-939B-445C-80D3-1464D984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2230</Words>
  <Characters>12935</Characters>
  <Application>Microsoft Office Word</Application>
  <DocSecurity>0</DocSecurity>
  <Lines>107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 N F O R M A R E</vt:lpstr>
      <vt:lpstr>I N F O R M A R E</vt:lpstr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R E</dc:title>
  <dc:subject/>
  <dc:creator>gflorea</dc:creator>
  <cp:keywords/>
  <dc:description/>
  <cp:lastModifiedBy>Sandu Gherasim</cp:lastModifiedBy>
  <cp:revision>6</cp:revision>
  <cp:lastPrinted>2019-02-05T11:32:00Z</cp:lastPrinted>
  <dcterms:created xsi:type="dcterms:W3CDTF">2019-02-06T11:30:00Z</dcterms:created>
  <dcterms:modified xsi:type="dcterms:W3CDTF">2019-02-06T14:10:00Z</dcterms:modified>
</cp:coreProperties>
</file>