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7568" w14:textId="77777777" w:rsidR="00963291" w:rsidRDefault="00963291" w:rsidP="00133AEE">
      <w:pPr>
        <w:tabs>
          <w:tab w:val="left" w:pos="1080"/>
        </w:tabs>
        <w:spacing w:after="0" w:line="240" w:lineRule="auto"/>
        <w:ind w:firstLine="720"/>
        <w:jc w:val="center"/>
        <w:rPr>
          <w:b/>
          <w:sz w:val="26"/>
          <w:szCs w:val="26"/>
          <w:lang w:val="ro-RO"/>
        </w:rPr>
      </w:pPr>
    </w:p>
    <w:p w14:paraId="0EB8EB87" w14:textId="77777777" w:rsidR="00963291" w:rsidRDefault="00963291" w:rsidP="00133AEE">
      <w:pPr>
        <w:tabs>
          <w:tab w:val="left" w:pos="1080"/>
        </w:tabs>
        <w:spacing w:after="0" w:line="240" w:lineRule="auto"/>
        <w:ind w:firstLine="720"/>
        <w:jc w:val="center"/>
        <w:rPr>
          <w:b/>
          <w:sz w:val="26"/>
          <w:szCs w:val="26"/>
          <w:lang w:val="ro-RO"/>
        </w:rPr>
      </w:pPr>
    </w:p>
    <w:p w14:paraId="67305E3A" w14:textId="77777777" w:rsidR="0015533F" w:rsidRPr="00133AEE" w:rsidRDefault="0015533F" w:rsidP="00133AEE">
      <w:pPr>
        <w:tabs>
          <w:tab w:val="left" w:pos="1080"/>
        </w:tabs>
        <w:spacing w:after="0" w:line="240" w:lineRule="auto"/>
        <w:ind w:firstLine="720"/>
        <w:jc w:val="center"/>
        <w:rPr>
          <w:b/>
          <w:sz w:val="26"/>
          <w:szCs w:val="26"/>
          <w:lang w:val="ro-RO"/>
        </w:rPr>
      </w:pPr>
      <w:r w:rsidRPr="00133AEE">
        <w:rPr>
          <w:b/>
          <w:sz w:val="26"/>
          <w:szCs w:val="26"/>
          <w:lang w:val="ro-RO"/>
        </w:rPr>
        <w:t>COMUNICAT</w:t>
      </w:r>
    </w:p>
    <w:p w14:paraId="459BBC26" w14:textId="77777777" w:rsidR="0015533F" w:rsidRPr="00133AEE" w:rsidRDefault="0015533F" w:rsidP="00966C34">
      <w:pPr>
        <w:spacing w:after="0" w:line="240" w:lineRule="auto"/>
        <w:ind w:firstLine="720"/>
        <w:jc w:val="center"/>
        <w:rPr>
          <w:b/>
          <w:sz w:val="26"/>
          <w:szCs w:val="26"/>
          <w:lang w:val="ro-RO"/>
        </w:rPr>
      </w:pPr>
    </w:p>
    <w:p w14:paraId="028DD8EC" w14:textId="77777777" w:rsidR="0015533F" w:rsidRPr="00133AEE" w:rsidRDefault="00963291" w:rsidP="00966C34">
      <w:pPr>
        <w:spacing w:after="0" w:line="240" w:lineRule="auto"/>
        <w:ind w:firstLine="720"/>
        <w:jc w:val="both"/>
        <w:rPr>
          <w:sz w:val="26"/>
          <w:szCs w:val="26"/>
          <w:lang w:val="ro-RO"/>
        </w:rPr>
      </w:pPr>
      <w:r>
        <w:rPr>
          <w:sz w:val="26"/>
          <w:szCs w:val="26"/>
          <w:lang w:val="ro-RO"/>
        </w:rPr>
        <w:t>In data de</w:t>
      </w:r>
      <w:r w:rsidR="0020567F">
        <w:rPr>
          <w:sz w:val="26"/>
          <w:szCs w:val="26"/>
          <w:lang w:val="ro-RO"/>
        </w:rPr>
        <w:t xml:space="preserve"> </w:t>
      </w:r>
      <w:r w:rsidR="0015533F" w:rsidRPr="00133AEE">
        <w:rPr>
          <w:sz w:val="26"/>
          <w:szCs w:val="26"/>
          <w:lang w:val="ro-RO"/>
        </w:rPr>
        <w:t xml:space="preserve">23 august </w:t>
      </w:r>
      <w:r w:rsidR="0020567F">
        <w:rPr>
          <w:sz w:val="26"/>
          <w:szCs w:val="26"/>
          <w:lang w:val="ro-RO"/>
        </w:rPr>
        <w:t xml:space="preserve">2019 </w:t>
      </w:r>
      <w:r w:rsidR="0015533F" w:rsidRPr="00133AEE">
        <w:rPr>
          <w:sz w:val="26"/>
          <w:szCs w:val="26"/>
          <w:lang w:val="ro-RO"/>
        </w:rPr>
        <w:t xml:space="preserve">a avut loc </w:t>
      </w:r>
      <w:r w:rsidR="00552652" w:rsidRPr="00133AEE">
        <w:rPr>
          <w:sz w:val="26"/>
          <w:szCs w:val="26"/>
          <w:lang w:val="ro-RO"/>
        </w:rPr>
        <w:t xml:space="preserve">ședința Comisiei Permanente a Uniunii Naționale a Barourilor din România în București. </w:t>
      </w:r>
    </w:p>
    <w:p w14:paraId="16C7846B" w14:textId="77777777" w:rsidR="00133AEE" w:rsidRPr="00133AEE" w:rsidRDefault="00133AEE" w:rsidP="00966C34">
      <w:pPr>
        <w:spacing w:after="0" w:line="240" w:lineRule="auto"/>
        <w:ind w:firstLine="720"/>
        <w:jc w:val="both"/>
        <w:rPr>
          <w:sz w:val="26"/>
          <w:szCs w:val="26"/>
          <w:lang w:val="ro-RO"/>
        </w:rPr>
      </w:pPr>
    </w:p>
    <w:p w14:paraId="7F2FB691" w14:textId="77777777" w:rsidR="00966C34" w:rsidRPr="00966C34" w:rsidRDefault="00966C34" w:rsidP="00966C34">
      <w:pPr>
        <w:spacing w:after="0" w:line="240" w:lineRule="auto"/>
        <w:ind w:firstLine="720"/>
        <w:jc w:val="both"/>
        <w:rPr>
          <w:sz w:val="26"/>
          <w:szCs w:val="26"/>
          <w:lang w:val="ro-RO"/>
        </w:rPr>
      </w:pPr>
      <w:r>
        <w:rPr>
          <w:sz w:val="26"/>
          <w:szCs w:val="26"/>
          <w:lang w:val="ro-RO"/>
        </w:rPr>
        <w:t>A</w:t>
      </w:r>
      <w:r w:rsidR="00552652" w:rsidRPr="00133AEE">
        <w:rPr>
          <w:sz w:val="26"/>
          <w:szCs w:val="26"/>
          <w:lang w:val="ro-RO"/>
        </w:rPr>
        <w:t>u fost discutat</w:t>
      </w:r>
      <w:r w:rsidR="00552652" w:rsidRPr="00966C34">
        <w:rPr>
          <w:sz w:val="26"/>
          <w:szCs w:val="26"/>
          <w:lang w:val="ro-RO"/>
        </w:rPr>
        <w:t xml:space="preserve">e </w:t>
      </w:r>
      <w:r w:rsidRPr="00966C34">
        <w:rPr>
          <w:sz w:val="26"/>
          <w:szCs w:val="26"/>
          <w:lang w:val="ro-RO"/>
        </w:rPr>
        <w:t>m</w:t>
      </w:r>
      <w:r w:rsidR="00133AEE" w:rsidRPr="00966C34">
        <w:rPr>
          <w:rFonts w:asciiTheme="minorHAnsi" w:eastAsia="Calibri" w:hAnsiTheme="minorHAnsi"/>
          <w:sz w:val="26"/>
          <w:szCs w:val="26"/>
          <w:lang w:val="ro-RO" w:eastAsia="en-US"/>
        </w:rPr>
        <w:t xml:space="preserve">ăsuri organizatorice la nivelul Comisiei Permanente. </w:t>
      </w:r>
      <w:r>
        <w:rPr>
          <w:rFonts w:asciiTheme="minorHAnsi" w:eastAsia="Calibri" w:hAnsiTheme="minorHAnsi"/>
          <w:sz w:val="26"/>
          <w:szCs w:val="26"/>
          <w:lang w:val="ro-RO" w:eastAsia="en-US"/>
        </w:rPr>
        <w:t>A fost d</w:t>
      </w:r>
      <w:r w:rsidR="001B1AF5">
        <w:rPr>
          <w:rFonts w:asciiTheme="minorHAnsi" w:eastAsia="Calibri" w:hAnsiTheme="minorHAnsi"/>
          <w:sz w:val="26"/>
          <w:szCs w:val="26"/>
          <w:lang w:val="ro-RO" w:eastAsia="en-US"/>
        </w:rPr>
        <w:t xml:space="preserve">ecisă repartizarea coordonării </w:t>
      </w:r>
      <w:r>
        <w:rPr>
          <w:rFonts w:asciiTheme="minorHAnsi" w:eastAsia="Calibri" w:hAnsiTheme="minorHAnsi"/>
          <w:sz w:val="26"/>
          <w:szCs w:val="26"/>
          <w:lang w:val="ro-RO" w:eastAsia="en-US"/>
        </w:rPr>
        <w:t xml:space="preserve">departamentelor UNBR de către Vicepreședinții UNBR. </w:t>
      </w:r>
    </w:p>
    <w:p w14:paraId="647BC445" w14:textId="77777777" w:rsidR="00966C34" w:rsidRDefault="00966C34" w:rsidP="00966C34">
      <w:pPr>
        <w:spacing w:after="0" w:line="240" w:lineRule="auto"/>
        <w:ind w:firstLine="720"/>
        <w:jc w:val="both"/>
        <w:rPr>
          <w:rFonts w:asciiTheme="minorHAnsi" w:eastAsia="Calibri" w:hAnsiTheme="minorHAnsi"/>
          <w:sz w:val="26"/>
          <w:szCs w:val="26"/>
          <w:lang w:val="ro-RO" w:eastAsia="en-US"/>
        </w:rPr>
      </w:pPr>
      <w:r>
        <w:rPr>
          <w:rFonts w:asciiTheme="minorHAnsi" w:eastAsia="Calibri" w:hAnsiTheme="minorHAnsi"/>
          <w:sz w:val="26"/>
          <w:szCs w:val="26"/>
          <w:lang w:val="ro-RO" w:eastAsia="en-US"/>
        </w:rPr>
        <w:t xml:space="preserve">Au fost </w:t>
      </w:r>
      <w:r w:rsidR="00EC5510">
        <w:rPr>
          <w:rFonts w:asciiTheme="minorHAnsi" w:eastAsia="Calibri" w:hAnsiTheme="minorHAnsi"/>
          <w:sz w:val="26"/>
          <w:szCs w:val="26"/>
          <w:lang w:val="ro-RO" w:eastAsia="en-US"/>
        </w:rPr>
        <w:t>analizate</w:t>
      </w:r>
      <w:r>
        <w:rPr>
          <w:rFonts w:asciiTheme="minorHAnsi" w:eastAsia="Calibri" w:hAnsiTheme="minorHAnsi"/>
          <w:sz w:val="26"/>
          <w:szCs w:val="26"/>
          <w:lang w:val="ro-RO" w:eastAsia="en-US"/>
        </w:rPr>
        <w:t xml:space="preserve"> aspecte organizatorice privind </w:t>
      </w:r>
      <w:r w:rsidR="005013C4">
        <w:rPr>
          <w:rFonts w:asciiTheme="minorHAnsi" w:eastAsia="Calibri" w:hAnsiTheme="minorHAnsi"/>
          <w:sz w:val="26"/>
          <w:szCs w:val="26"/>
          <w:lang w:val="ro-RO" w:eastAsia="en-US"/>
        </w:rPr>
        <w:t>reluarea</w:t>
      </w:r>
      <w:r w:rsidR="00552BFD">
        <w:rPr>
          <w:rFonts w:asciiTheme="minorHAnsi" w:eastAsia="Calibri" w:hAnsiTheme="minorHAnsi"/>
          <w:sz w:val="26"/>
          <w:szCs w:val="26"/>
          <w:lang w:val="ro-RO" w:eastAsia="en-US"/>
        </w:rPr>
        <w:t xml:space="preserve"> </w:t>
      </w:r>
      <w:r>
        <w:rPr>
          <w:rFonts w:asciiTheme="minorHAnsi" w:eastAsia="Calibri" w:hAnsiTheme="minorHAnsi"/>
          <w:sz w:val="26"/>
          <w:szCs w:val="26"/>
          <w:lang w:val="ro-RO" w:eastAsia="en-US"/>
        </w:rPr>
        <w:t>lucrărilor Congresului avocaților 2019 la data de 5 octombrie 2019, astfel cum a fost decis în luna iunie 2019, prin art. 2 din Hotărârea</w:t>
      </w:r>
      <w:r w:rsidR="0020567F">
        <w:rPr>
          <w:rFonts w:asciiTheme="minorHAnsi" w:eastAsia="Calibri" w:hAnsiTheme="minorHAnsi"/>
          <w:sz w:val="26"/>
          <w:szCs w:val="26"/>
          <w:lang w:val="ro-RO" w:eastAsia="en-US"/>
        </w:rPr>
        <w:t xml:space="preserve"> Congresului  Avocaților </w:t>
      </w:r>
      <w:r>
        <w:rPr>
          <w:rFonts w:asciiTheme="minorHAnsi" w:eastAsia="Calibri" w:hAnsiTheme="minorHAnsi"/>
          <w:sz w:val="26"/>
          <w:szCs w:val="26"/>
          <w:lang w:val="ro-RO" w:eastAsia="en-US"/>
        </w:rPr>
        <w:t xml:space="preserve">nr. 07 din 6-7 iunie 2019. </w:t>
      </w:r>
    </w:p>
    <w:p w14:paraId="7B2584F9" w14:textId="77777777" w:rsidR="00552652" w:rsidRDefault="00966C34" w:rsidP="00966C34">
      <w:pPr>
        <w:spacing w:after="0" w:line="240" w:lineRule="auto"/>
        <w:ind w:firstLine="720"/>
        <w:jc w:val="both"/>
        <w:rPr>
          <w:rFonts w:asciiTheme="minorHAnsi" w:eastAsia="Calibri" w:hAnsiTheme="minorHAnsi"/>
          <w:sz w:val="26"/>
          <w:szCs w:val="26"/>
          <w:lang w:val="ro-RO" w:eastAsia="en-US"/>
        </w:rPr>
      </w:pPr>
      <w:r>
        <w:rPr>
          <w:rFonts w:asciiTheme="minorHAnsi" w:eastAsia="Calibri" w:hAnsiTheme="minorHAnsi"/>
          <w:sz w:val="26"/>
          <w:szCs w:val="26"/>
          <w:lang w:val="ro-RO" w:eastAsia="en-US"/>
        </w:rPr>
        <w:t xml:space="preserve">Au fost decise măsurile organizatorice </w:t>
      </w:r>
      <w:r w:rsidR="00552652" w:rsidRPr="00966C34">
        <w:rPr>
          <w:rFonts w:asciiTheme="minorHAnsi" w:eastAsia="Calibri" w:hAnsiTheme="minorHAnsi"/>
          <w:sz w:val="26"/>
          <w:szCs w:val="26"/>
          <w:lang w:val="ro-RO" w:eastAsia="en-US"/>
        </w:rPr>
        <w:t>privind organizarea examenului de admitere în profesia de avocat – sesiunea august – septembrie 2019</w:t>
      </w:r>
      <w:r>
        <w:rPr>
          <w:rFonts w:asciiTheme="minorHAnsi" w:eastAsia="Calibri" w:hAnsiTheme="minorHAnsi"/>
          <w:sz w:val="26"/>
          <w:szCs w:val="26"/>
          <w:lang w:val="ro-RO" w:eastAsia="en-US"/>
        </w:rPr>
        <w:t>. S-a stabilit Comisia de organizare a examenului. Comisia a luat act de informarea Președintelui Comisiei de Examen privind locurile de de</w:t>
      </w:r>
      <w:bookmarkStart w:id="0" w:name="_GoBack"/>
      <w:bookmarkEnd w:id="0"/>
      <w:r>
        <w:rPr>
          <w:rFonts w:asciiTheme="minorHAnsi" w:eastAsia="Calibri" w:hAnsiTheme="minorHAnsi"/>
          <w:sz w:val="26"/>
          <w:szCs w:val="26"/>
          <w:lang w:val="ro-RO" w:eastAsia="en-US"/>
        </w:rPr>
        <w:t xml:space="preserve">sfășurare ale examenului din 30 august 2019. </w:t>
      </w:r>
    </w:p>
    <w:p w14:paraId="696B3299" w14:textId="77777777" w:rsidR="00552652" w:rsidRPr="00966C34" w:rsidRDefault="00966C34" w:rsidP="00963291">
      <w:pPr>
        <w:spacing w:after="0" w:line="240" w:lineRule="auto"/>
        <w:ind w:firstLine="720"/>
        <w:jc w:val="both"/>
        <w:rPr>
          <w:rFonts w:asciiTheme="minorHAnsi" w:eastAsia="Calibri" w:hAnsiTheme="minorHAnsi"/>
          <w:sz w:val="26"/>
          <w:szCs w:val="26"/>
          <w:lang w:val="ro-RO" w:eastAsia="en-US"/>
        </w:rPr>
      </w:pPr>
      <w:r>
        <w:rPr>
          <w:rFonts w:asciiTheme="minorHAnsi" w:eastAsia="Calibri" w:hAnsiTheme="minorHAnsi"/>
          <w:sz w:val="26"/>
          <w:szCs w:val="26"/>
          <w:lang w:val="ro-RO" w:eastAsia="en-US"/>
        </w:rPr>
        <w:t xml:space="preserve">Cu privire la </w:t>
      </w:r>
      <w:r w:rsidR="00552652" w:rsidRPr="00963291">
        <w:rPr>
          <w:rFonts w:asciiTheme="minorHAnsi" w:eastAsia="Calibri" w:hAnsiTheme="minorHAnsi"/>
          <w:i/>
          <w:sz w:val="26"/>
          <w:szCs w:val="26"/>
          <w:lang w:val="ro-RO" w:eastAsia="en-US"/>
        </w:rPr>
        <w:t>„Ghidul de bune practici în relația sistemului judiciar cu celelalte profesii juridice, în special av</w:t>
      </w:r>
      <w:r w:rsidR="00F6054E" w:rsidRPr="00963291">
        <w:rPr>
          <w:rFonts w:asciiTheme="minorHAnsi" w:eastAsia="Calibri" w:hAnsiTheme="minorHAnsi"/>
          <w:i/>
          <w:sz w:val="26"/>
          <w:szCs w:val="26"/>
          <w:lang w:val="ro-RO" w:eastAsia="en-US"/>
        </w:rPr>
        <w:t>ocați”</w:t>
      </w:r>
      <w:r w:rsidR="00F6054E">
        <w:rPr>
          <w:rFonts w:asciiTheme="minorHAnsi" w:eastAsia="Calibri" w:hAnsiTheme="minorHAnsi"/>
          <w:sz w:val="26"/>
          <w:szCs w:val="26"/>
          <w:lang w:val="ro-RO" w:eastAsia="en-US"/>
        </w:rPr>
        <w:t>, elaborat</w:t>
      </w:r>
      <w:r w:rsidR="00552652" w:rsidRPr="00966C34">
        <w:rPr>
          <w:rFonts w:asciiTheme="minorHAnsi" w:eastAsia="Calibri" w:hAnsiTheme="minorHAnsi"/>
          <w:sz w:val="26"/>
          <w:szCs w:val="26"/>
          <w:lang w:val="ro-RO" w:eastAsia="en-US"/>
        </w:rPr>
        <w:t xml:space="preserve"> în implementarea Proiectului TAEJ – Transparență, accesibilitate și educație juridică prin îmbunătățirea comunicării publice la nivelul sistemului judiciar</w:t>
      </w:r>
      <w:r w:rsidR="00CF30A9">
        <w:rPr>
          <w:rFonts w:asciiTheme="minorHAnsi" w:eastAsia="Calibri" w:hAnsiTheme="minorHAnsi"/>
          <w:sz w:val="26"/>
          <w:szCs w:val="26"/>
          <w:lang w:val="ro-RO" w:eastAsia="en-US"/>
        </w:rPr>
        <w:t xml:space="preserve">, </w:t>
      </w:r>
      <w:r w:rsidR="00F6054E">
        <w:rPr>
          <w:rFonts w:asciiTheme="minorHAnsi" w:eastAsia="Calibri" w:hAnsiTheme="minorHAnsi"/>
          <w:sz w:val="26"/>
          <w:szCs w:val="26"/>
          <w:lang w:val="ro-RO" w:eastAsia="en-US"/>
        </w:rPr>
        <w:t xml:space="preserve">Comisia Permanentă a luat act de informarea făcută de 2 </w:t>
      </w:r>
      <w:r w:rsidR="00963291">
        <w:rPr>
          <w:rFonts w:asciiTheme="minorHAnsi" w:eastAsia="Calibri" w:hAnsiTheme="minorHAnsi"/>
          <w:sz w:val="26"/>
          <w:szCs w:val="26"/>
          <w:lang w:val="ro-RO" w:eastAsia="en-US"/>
        </w:rPr>
        <w:t>experți (</w:t>
      </w:r>
      <w:r w:rsidR="00F6054E">
        <w:rPr>
          <w:rFonts w:asciiTheme="minorHAnsi" w:eastAsia="Calibri" w:hAnsiTheme="minorHAnsi"/>
          <w:sz w:val="26"/>
          <w:szCs w:val="26"/>
          <w:lang w:val="ro-RO" w:eastAsia="en-US"/>
        </w:rPr>
        <w:t>avocați</w:t>
      </w:r>
      <w:r w:rsidR="00963291">
        <w:rPr>
          <w:rFonts w:asciiTheme="minorHAnsi" w:eastAsia="Calibri" w:hAnsiTheme="minorHAnsi"/>
          <w:sz w:val="26"/>
          <w:szCs w:val="26"/>
          <w:lang w:val="ro-RO" w:eastAsia="en-US"/>
        </w:rPr>
        <w:t>)</w:t>
      </w:r>
      <w:r w:rsidR="00F6054E">
        <w:rPr>
          <w:rFonts w:asciiTheme="minorHAnsi" w:eastAsia="Calibri" w:hAnsiTheme="minorHAnsi"/>
          <w:sz w:val="26"/>
          <w:szCs w:val="26"/>
          <w:lang w:val="ro-RO" w:eastAsia="en-US"/>
        </w:rPr>
        <w:t xml:space="preserve"> din membrii grupului de lucru care a partic</w:t>
      </w:r>
      <w:r w:rsidR="00963291">
        <w:rPr>
          <w:rFonts w:asciiTheme="minorHAnsi" w:eastAsia="Calibri" w:hAnsiTheme="minorHAnsi"/>
          <w:sz w:val="26"/>
          <w:szCs w:val="26"/>
          <w:lang w:val="ro-RO" w:eastAsia="en-US"/>
        </w:rPr>
        <w:t>ipat la elaborarea acestui Ghid, a apreciat activitatea desfășurată ȋn cadrul proiectului și a stabilit un termen pentru asimilarea materialului.</w:t>
      </w:r>
      <w:r w:rsidR="00F6054E">
        <w:rPr>
          <w:rFonts w:asciiTheme="minorHAnsi" w:eastAsia="Calibri" w:hAnsiTheme="minorHAnsi"/>
          <w:sz w:val="26"/>
          <w:szCs w:val="26"/>
          <w:lang w:val="ro-RO" w:eastAsia="en-US"/>
        </w:rPr>
        <w:t xml:space="preserve"> </w:t>
      </w:r>
      <w:r w:rsidR="005F0A28">
        <w:rPr>
          <w:rFonts w:asciiTheme="minorHAnsi" w:eastAsia="Calibri" w:hAnsiTheme="minorHAnsi"/>
          <w:sz w:val="26"/>
          <w:szCs w:val="26"/>
          <w:lang w:val="ro-RO" w:eastAsia="en-US"/>
        </w:rPr>
        <w:t>Totodată, a</w:t>
      </w:r>
      <w:r w:rsidR="007A30E8">
        <w:rPr>
          <w:rFonts w:asciiTheme="minorHAnsi" w:eastAsia="Calibri" w:hAnsiTheme="minorHAnsi"/>
          <w:sz w:val="26"/>
          <w:szCs w:val="26"/>
          <w:lang w:val="ro-RO" w:eastAsia="en-US"/>
        </w:rPr>
        <w:t xml:space="preserve"> fost aprobată propunerea de acord ȋntre CSM și UNBR privind distribuirea pachetului informativ ȋn cadrul Proiectului TAEJ.</w:t>
      </w:r>
    </w:p>
    <w:p w14:paraId="50811862" w14:textId="77777777" w:rsidR="00552652" w:rsidRDefault="00552652" w:rsidP="00966C34">
      <w:pPr>
        <w:spacing w:after="0" w:line="240" w:lineRule="auto"/>
        <w:ind w:firstLine="720"/>
        <w:jc w:val="both"/>
        <w:rPr>
          <w:rFonts w:asciiTheme="minorHAnsi" w:eastAsia="Calibri" w:hAnsiTheme="minorHAnsi"/>
          <w:sz w:val="26"/>
          <w:szCs w:val="26"/>
          <w:lang w:val="ro-RO" w:eastAsia="en-US"/>
        </w:rPr>
      </w:pPr>
      <w:r w:rsidRPr="00966C34">
        <w:rPr>
          <w:rFonts w:asciiTheme="minorHAnsi" w:eastAsia="Calibri" w:hAnsiTheme="minorHAnsi"/>
          <w:sz w:val="26"/>
          <w:szCs w:val="26"/>
          <w:lang w:val="ro-RO" w:eastAsia="en-US"/>
        </w:rPr>
        <w:t xml:space="preserve">Comisia Permanentă </w:t>
      </w:r>
      <w:r w:rsidR="00963291">
        <w:rPr>
          <w:rFonts w:asciiTheme="minorHAnsi" w:eastAsia="Calibri" w:hAnsiTheme="minorHAnsi"/>
          <w:sz w:val="26"/>
          <w:szCs w:val="26"/>
          <w:lang w:val="ro-RO" w:eastAsia="en-US"/>
        </w:rPr>
        <w:t xml:space="preserve">a analizat efetele intrării ȋn vigoare a </w:t>
      </w:r>
      <w:r w:rsidRPr="00966C34">
        <w:rPr>
          <w:rFonts w:asciiTheme="minorHAnsi" w:eastAsia="Calibri" w:hAnsiTheme="minorHAnsi"/>
          <w:sz w:val="26"/>
          <w:szCs w:val="26"/>
          <w:lang w:val="ro-RO" w:eastAsia="en-US"/>
        </w:rPr>
        <w:t xml:space="preserve">Legii nr.129/2019 pentru prevenirea și combaterea spălării banilor și finanțării terorismului  </w:t>
      </w:r>
      <w:r w:rsidR="00963291">
        <w:rPr>
          <w:rFonts w:asciiTheme="minorHAnsi" w:eastAsia="Calibri" w:hAnsiTheme="minorHAnsi"/>
          <w:sz w:val="26"/>
          <w:szCs w:val="26"/>
          <w:lang w:val="ro-RO" w:eastAsia="en-US"/>
        </w:rPr>
        <w:t>și a luat măsuri organizatorice ȋn vederea ȋndeplinirii obligațiilor ce revin organelor profesiei de avocat</w:t>
      </w:r>
      <w:r w:rsidRPr="00966C34">
        <w:rPr>
          <w:rFonts w:asciiTheme="minorHAnsi" w:eastAsia="Calibri" w:hAnsiTheme="minorHAnsi"/>
          <w:sz w:val="26"/>
          <w:szCs w:val="26"/>
          <w:lang w:val="ro-RO" w:eastAsia="en-US"/>
        </w:rPr>
        <w:t xml:space="preserve">. </w:t>
      </w:r>
    </w:p>
    <w:p w14:paraId="03914AA9" w14:textId="77777777" w:rsidR="00552652" w:rsidRPr="00133AEE" w:rsidRDefault="00552652" w:rsidP="00966C34">
      <w:pPr>
        <w:spacing w:after="0" w:line="240" w:lineRule="auto"/>
        <w:ind w:firstLine="720"/>
        <w:jc w:val="both"/>
        <w:rPr>
          <w:rFonts w:asciiTheme="minorHAnsi" w:eastAsia="Calibri" w:hAnsiTheme="minorHAnsi"/>
          <w:sz w:val="26"/>
          <w:szCs w:val="26"/>
          <w:lang w:val="ro-RO" w:eastAsia="en-US"/>
        </w:rPr>
      </w:pPr>
      <w:r w:rsidRPr="00966C34">
        <w:rPr>
          <w:rFonts w:asciiTheme="minorHAnsi" w:eastAsia="Calibri" w:hAnsiTheme="minorHAnsi"/>
          <w:sz w:val="26"/>
          <w:szCs w:val="26"/>
          <w:lang w:val="ro-RO" w:eastAsia="en-US"/>
        </w:rPr>
        <w:t xml:space="preserve">A fost discutată </w:t>
      </w:r>
      <w:r w:rsidR="00F6054E">
        <w:rPr>
          <w:rFonts w:asciiTheme="minorHAnsi" w:eastAsia="Calibri" w:hAnsiTheme="minorHAnsi"/>
          <w:sz w:val="26"/>
          <w:szCs w:val="26"/>
          <w:lang w:val="ro-RO" w:eastAsia="en-US"/>
        </w:rPr>
        <w:t>p</w:t>
      </w:r>
      <w:r w:rsidRPr="00966C34">
        <w:rPr>
          <w:rFonts w:asciiTheme="minorHAnsi" w:eastAsia="Calibri" w:hAnsiTheme="minorHAnsi"/>
          <w:sz w:val="26"/>
          <w:szCs w:val="26"/>
          <w:lang w:val="ro-RO" w:eastAsia="en-US"/>
        </w:rPr>
        <w:t>ropunerea Consiliului CAA privind modificarea Statutului CAA în sensul corelării cu modificările aduse Legii nr.51/1995 prin Legea nr.142/2019</w:t>
      </w:r>
      <w:r w:rsidR="0046563C">
        <w:rPr>
          <w:rFonts w:asciiTheme="minorHAnsi" w:eastAsia="Calibri" w:hAnsiTheme="minorHAnsi"/>
          <w:sz w:val="26"/>
          <w:szCs w:val="26"/>
          <w:lang w:val="ro-RO" w:eastAsia="en-US"/>
        </w:rPr>
        <w:t xml:space="preserve">, care va fi supusă </w:t>
      </w:r>
      <w:r w:rsidR="005B209C">
        <w:rPr>
          <w:rFonts w:asciiTheme="minorHAnsi" w:eastAsia="Calibri" w:hAnsiTheme="minorHAnsi"/>
          <w:sz w:val="26"/>
          <w:szCs w:val="26"/>
          <w:lang w:val="ro-RO" w:eastAsia="en-US"/>
        </w:rPr>
        <w:t>spre analiză și vot Consiliului UNBR, prin mijloace electronice</w:t>
      </w:r>
      <w:r w:rsidR="00F6054E">
        <w:rPr>
          <w:rFonts w:asciiTheme="minorHAnsi" w:eastAsia="Calibri" w:hAnsiTheme="minorHAnsi"/>
          <w:sz w:val="26"/>
          <w:szCs w:val="26"/>
          <w:lang w:val="ro-RO" w:eastAsia="en-US"/>
        </w:rPr>
        <w:t xml:space="preserve">. </w:t>
      </w:r>
    </w:p>
    <w:p w14:paraId="77E9EDD0" w14:textId="77777777" w:rsidR="00F6054E" w:rsidRDefault="00552652" w:rsidP="00966C34">
      <w:pPr>
        <w:spacing w:after="0" w:line="240" w:lineRule="auto"/>
        <w:ind w:firstLine="720"/>
        <w:jc w:val="both"/>
        <w:rPr>
          <w:rFonts w:asciiTheme="minorHAnsi" w:eastAsia="Calibri" w:hAnsiTheme="minorHAnsi"/>
          <w:sz w:val="26"/>
          <w:szCs w:val="26"/>
          <w:lang w:val="ro-RO" w:eastAsia="en-US"/>
        </w:rPr>
      </w:pPr>
      <w:r w:rsidRPr="00966C34">
        <w:rPr>
          <w:rFonts w:asciiTheme="minorHAnsi" w:eastAsia="Calibri" w:hAnsiTheme="minorHAnsi"/>
          <w:sz w:val="26"/>
          <w:szCs w:val="26"/>
          <w:lang w:val="ro-RO" w:eastAsia="en-US"/>
        </w:rPr>
        <w:t xml:space="preserve">S-a discutat </w:t>
      </w:r>
      <w:r w:rsidR="00F6054E">
        <w:rPr>
          <w:rFonts w:asciiTheme="minorHAnsi" w:eastAsia="Calibri" w:hAnsiTheme="minorHAnsi"/>
          <w:sz w:val="26"/>
          <w:szCs w:val="26"/>
          <w:lang w:val="ro-RO" w:eastAsia="en-US"/>
        </w:rPr>
        <w:t xml:space="preserve">cu privire la </w:t>
      </w:r>
      <w:r w:rsidRPr="00966C34">
        <w:rPr>
          <w:rFonts w:asciiTheme="minorHAnsi" w:eastAsia="Calibri" w:hAnsiTheme="minorHAnsi"/>
          <w:sz w:val="26"/>
          <w:szCs w:val="26"/>
          <w:lang w:val="ro-RO" w:eastAsia="en-US"/>
        </w:rPr>
        <w:t xml:space="preserve">asigurarea sumelor de bani pentru plata asistenței judiciare și a acțiunilor întreprinse pentru aplicarea corectă a Protocolului din 14 februarie 2019. </w:t>
      </w:r>
      <w:r w:rsidR="00F6054E">
        <w:rPr>
          <w:rFonts w:asciiTheme="minorHAnsi" w:eastAsia="Calibri" w:hAnsiTheme="minorHAnsi"/>
          <w:sz w:val="26"/>
          <w:szCs w:val="26"/>
          <w:lang w:val="ro-RO" w:eastAsia="en-US"/>
        </w:rPr>
        <w:t xml:space="preserve">Comisia Permanentă a luat act de comunicarea Ministerului Finanțelor Publice din data de 23 august 2019 potrivit căreia: </w:t>
      </w:r>
    </w:p>
    <w:p w14:paraId="64553C25" w14:textId="77777777" w:rsidR="00F6054E" w:rsidRDefault="00F6054E" w:rsidP="00966C34">
      <w:pPr>
        <w:spacing w:after="0" w:line="240" w:lineRule="auto"/>
        <w:ind w:firstLine="720"/>
        <w:jc w:val="both"/>
        <w:rPr>
          <w:rFonts w:asciiTheme="minorHAnsi" w:eastAsia="Calibri" w:hAnsiTheme="minorHAnsi"/>
          <w:i/>
          <w:sz w:val="26"/>
          <w:szCs w:val="26"/>
          <w:lang w:val="ro-RO" w:eastAsia="en-US"/>
        </w:rPr>
      </w:pPr>
      <w:r>
        <w:rPr>
          <w:rFonts w:asciiTheme="minorHAnsi" w:eastAsia="Calibri" w:hAnsiTheme="minorHAnsi"/>
          <w:sz w:val="26"/>
          <w:szCs w:val="26"/>
          <w:lang w:val="ro-RO" w:eastAsia="en-US"/>
        </w:rPr>
        <w:t>„</w:t>
      </w:r>
      <w:r>
        <w:rPr>
          <w:rFonts w:asciiTheme="minorHAnsi" w:eastAsia="Calibri" w:hAnsiTheme="minorHAnsi"/>
          <w:i/>
          <w:sz w:val="26"/>
          <w:szCs w:val="26"/>
          <w:lang w:val="ro-RO" w:eastAsia="en-US"/>
        </w:rPr>
        <w:t xml:space="preserve">Prin Ordonanța Guvernului nr. 12/2019 cu privire la rectificarea bugetului de stat pe anul 2019, bugetul Ministerului Justiției a fost suplimentat la titlul </w:t>
      </w:r>
      <w:r>
        <w:rPr>
          <w:rFonts w:asciiTheme="minorHAnsi" w:eastAsia="Calibri" w:hAnsiTheme="minorHAnsi"/>
          <w:i/>
          <w:sz w:val="26"/>
          <w:szCs w:val="26"/>
          <w:lang w:val="en-US" w:eastAsia="en-US"/>
        </w:rPr>
        <w:t>&lt;</w:t>
      </w:r>
      <w:r w:rsidRPr="00F6054E">
        <w:rPr>
          <w:rFonts w:asciiTheme="minorHAnsi" w:eastAsia="Calibri" w:hAnsiTheme="minorHAnsi"/>
          <w:i/>
          <w:sz w:val="26"/>
          <w:szCs w:val="26"/>
          <w:lang w:val="ro-RO" w:eastAsia="en-US"/>
        </w:rPr>
        <w:t>Bunuri și servicii</w:t>
      </w:r>
      <w:r>
        <w:rPr>
          <w:rFonts w:asciiTheme="minorHAnsi" w:eastAsia="Calibri" w:hAnsiTheme="minorHAnsi"/>
          <w:i/>
          <w:sz w:val="26"/>
          <w:szCs w:val="26"/>
          <w:lang w:val="ro-RO" w:eastAsia="en-US"/>
        </w:rPr>
        <w:t xml:space="preserve">&gt; de la care asigură fondurile pentru plata ajutorului public judiciar, cu suma de 40 de milioane de lei. </w:t>
      </w:r>
    </w:p>
    <w:p w14:paraId="34F153C0" w14:textId="77777777" w:rsidR="00F6054E" w:rsidRDefault="00F6054E" w:rsidP="00966C34">
      <w:pPr>
        <w:spacing w:after="0" w:line="240" w:lineRule="auto"/>
        <w:ind w:firstLine="720"/>
        <w:jc w:val="both"/>
        <w:rPr>
          <w:rFonts w:asciiTheme="minorHAnsi" w:eastAsia="Calibri" w:hAnsiTheme="minorHAnsi"/>
          <w:sz w:val="26"/>
          <w:szCs w:val="26"/>
          <w:lang w:val="ro-RO" w:eastAsia="en-US"/>
        </w:rPr>
      </w:pPr>
      <w:r>
        <w:rPr>
          <w:rFonts w:asciiTheme="minorHAnsi" w:eastAsia="Calibri" w:hAnsiTheme="minorHAnsi"/>
          <w:i/>
          <w:sz w:val="26"/>
          <w:szCs w:val="26"/>
          <w:lang w:val="ro-RO" w:eastAsia="en-US"/>
        </w:rPr>
        <w:t xml:space="preserve">De asemenea, bugetul Ministerului Public  a fost majorat la titlul </w:t>
      </w:r>
      <w:r>
        <w:rPr>
          <w:rFonts w:asciiTheme="minorHAnsi" w:eastAsia="Calibri" w:hAnsiTheme="minorHAnsi"/>
          <w:i/>
          <w:sz w:val="26"/>
          <w:szCs w:val="26"/>
          <w:lang w:val="en-US" w:eastAsia="en-US"/>
        </w:rPr>
        <w:t>&lt;</w:t>
      </w:r>
      <w:r w:rsidRPr="00F6054E">
        <w:rPr>
          <w:rFonts w:asciiTheme="minorHAnsi" w:eastAsia="Calibri" w:hAnsiTheme="minorHAnsi"/>
          <w:i/>
          <w:sz w:val="26"/>
          <w:szCs w:val="26"/>
          <w:lang w:val="ro-RO" w:eastAsia="en-US"/>
        </w:rPr>
        <w:t>Bunuri și servicii</w:t>
      </w:r>
      <w:r>
        <w:rPr>
          <w:rFonts w:asciiTheme="minorHAnsi" w:eastAsia="Calibri" w:hAnsiTheme="minorHAnsi"/>
          <w:i/>
          <w:sz w:val="26"/>
          <w:szCs w:val="26"/>
          <w:lang w:val="ro-RO" w:eastAsia="en-US"/>
        </w:rPr>
        <w:t>&gt; cu suma de 10 milioane lei.”</w:t>
      </w:r>
    </w:p>
    <w:p w14:paraId="2926AD57" w14:textId="77777777" w:rsidR="00552652" w:rsidRDefault="002310BF" w:rsidP="002310BF">
      <w:pPr>
        <w:spacing w:after="0" w:line="240" w:lineRule="auto"/>
        <w:ind w:firstLine="720"/>
        <w:contextualSpacing/>
        <w:jc w:val="both"/>
        <w:rPr>
          <w:rFonts w:asciiTheme="minorHAnsi" w:eastAsia="Calibri" w:hAnsiTheme="minorHAnsi"/>
          <w:sz w:val="26"/>
          <w:szCs w:val="26"/>
          <w:lang w:val="ro-RO" w:eastAsia="en-US"/>
        </w:rPr>
      </w:pPr>
      <w:r>
        <w:rPr>
          <w:rFonts w:asciiTheme="minorHAnsi" w:eastAsia="Calibri" w:hAnsiTheme="minorHAnsi"/>
          <w:sz w:val="26"/>
          <w:szCs w:val="26"/>
          <w:lang w:val="ro-RO" w:eastAsia="en-US"/>
        </w:rPr>
        <w:t xml:space="preserve">A fost discutat stadiul desfășurării </w:t>
      </w:r>
      <w:r w:rsidR="00552652" w:rsidRPr="00966C34">
        <w:rPr>
          <w:rFonts w:asciiTheme="minorHAnsi" w:eastAsia="Calibri" w:hAnsiTheme="minorHAnsi"/>
          <w:sz w:val="26"/>
          <w:szCs w:val="26"/>
          <w:lang w:val="ro-RO" w:eastAsia="en-US"/>
        </w:rPr>
        <w:t>cursurilor pentru insolvența persoanelor fizice și dobândirea calității de administrator/lichidator pentru procedura</w:t>
      </w:r>
      <w:r w:rsidR="00963291">
        <w:rPr>
          <w:rFonts w:asciiTheme="minorHAnsi" w:eastAsia="Calibri" w:hAnsiTheme="minorHAnsi"/>
          <w:sz w:val="26"/>
          <w:szCs w:val="26"/>
          <w:lang w:val="ro-RO" w:eastAsia="en-US"/>
        </w:rPr>
        <w:t xml:space="preserve"> insolvenței persoanelor fiziceși modalitatea de finalizarea acestora ȋn vederea dobândirii calității de administrator/lichidator.</w:t>
      </w:r>
    </w:p>
    <w:p w14:paraId="4BD4AC1C" w14:textId="77777777" w:rsidR="002310BF" w:rsidRDefault="002310BF" w:rsidP="002310BF">
      <w:pPr>
        <w:spacing w:after="0" w:line="240" w:lineRule="auto"/>
        <w:ind w:firstLine="720"/>
        <w:contextualSpacing/>
        <w:jc w:val="both"/>
        <w:rPr>
          <w:rFonts w:asciiTheme="minorHAnsi" w:eastAsia="Calibri" w:hAnsiTheme="minorHAnsi"/>
          <w:sz w:val="26"/>
          <w:szCs w:val="26"/>
          <w:lang w:val="ro-RO" w:eastAsia="en-US"/>
        </w:rPr>
      </w:pPr>
      <w:r>
        <w:rPr>
          <w:rFonts w:asciiTheme="minorHAnsi" w:eastAsia="Calibri" w:hAnsiTheme="minorHAnsi"/>
          <w:sz w:val="26"/>
          <w:szCs w:val="26"/>
          <w:lang w:val="ro-RO" w:eastAsia="en-US"/>
        </w:rPr>
        <w:lastRenderedPageBreak/>
        <w:t xml:space="preserve">Cu privire la solicitarea formulată de domnul profesor Corneliu Liviu Popescu, privind </w:t>
      </w:r>
      <w:r w:rsidRPr="002310BF">
        <w:rPr>
          <w:rFonts w:asciiTheme="minorHAnsi" w:eastAsia="Calibri" w:hAnsiTheme="minorHAnsi"/>
          <w:sz w:val="26"/>
          <w:szCs w:val="26"/>
          <w:lang w:val="ro-RO" w:eastAsia="en-US"/>
        </w:rPr>
        <w:t>apărarea demnității și independenței avocaturii ca serviciu de interes general și ale Corpului Avocatilor, precum și efectivitatea dreptului la apărare</w:t>
      </w:r>
      <w:r>
        <w:rPr>
          <w:rFonts w:asciiTheme="minorHAnsi" w:eastAsia="Calibri" w:hAnsiTheme="minorHAnsi"/>
          <w:sz w:val="26"/>
          <w:szCs w:val="26"/>
          <w:lang w:val="ro-RO" w:eastAsia="en-US"/>
        </w:rPr>
        <w:t>, Comisia Permanentă a decis ca solicitarea domnului profesor Corneliu Liviu Popescu să fie publicată pe pagina de internet a UNBR și să fie comunicată barourilor pentru a intra în dezbaterea Corpului profesional al avocaților.</w:t>
      </w:r>
    </w:p>
    <w:p w14:paraId="38DB8F48" w14:textId="77777777" w:rsidR="002310BF" w:rsidRDefault="002310BF" w:rsidP="002310BF">
      <w:pPr>
        <w:spacing w:after="0" w:line="240" w:lineRule="auto"/>
        <w:ind w:firstLine="720"/>
        <w:contextualSpacing/>
        <w:jc w:val="both"/>
        <w:rPr>
          <w:rFonts w:asciiTheme="minorHAnsi" w:eastAsia="Calibri" w:hAnsiTheme="minorHAnsi"/>
          <w:sz w:val="26"/>
          <w:szCs w:val="26"/>
          <w:lang w:val="ro-RO" w:eastAsia="en-US"/>
        </w:rPr>
      </w:pPr>
      <w:r>
        <w:rPr>
          <w:rFonts w:asciiTheme="minorHAnsi" w:eastAsia="Calibri" w:hAnsiTheme="minorHAnsi"/>
          <w:sz w:val="26"/>
          <w:szCs w:val="26"/>
          <w:lang w:val="ro-RO" w:eastAsia="en-US"/>
        </w:rPr>
        <w:t xml:space="preserve">Totodată, Comisia Permanentă a analizat propunerea înaintată prin aceeași adresă ca avocații să dea anual o </w:t>
      </w:r>
      <w:r w:rsidRPr="002310BF">
        <w:rPr>
          <w:rFonts w:asciiTheme="minorHAnsi" w:eastAsia="Calibri" w:hAnsiTheme="minorHAnsi"/>
          <w:i/>
          <w:sz w:val="26"/>
          <w:szCs w:val="26"/>
          <w:lang w:val="ro-RO" w:eastAsia="en-US"/>
        </w:rPr>
        <w:t>declarație pe propria răspundere din care să rezulte că nu fac parte din personalul care își desfășoară activitatea acoperit în cadrul organelor de stat cu atribuții în domeniul securității naționale sau al structurilor ministeriale interne de informații, polițist lucrând sub acoperire, investigator sub acoperire, ca lucrător operativ din cadrul poliției judiciare sau al organelor de stat care desfășoară activități de informații, colaborator cu o altă identitate decât cea reală al organelor de urmărire penală, informator al organelor de urmărire penală sau informator al poliției</w:t>
      </w:r>
      <w:r>
        <w:rPr>
          <w:rFonts w:asciiTheme="minorHAnsi" w:eastAsia="Calibri" w:hAnsiTheme="minorHAnsi"/>
          <w:sz w:val="26"/>
          <w:szCs w:val="26"/>
          <w:lang w:val="ro-RO" w:eastAsia="en-US"/>
        </w:rPr>
        <w:t xml:space="preserve">. </w:t>
      </w:r>
      <w:r w:rsidR="00752660">
        <w:rPr>
          <w:rFonts w:asciiTheme="minorHAnsi" w:eastAsia="Calibri" w:hAnsiTheme="minorHAnsi"/>
          <w:sz w:val="26"/>
          <w:szCs w:val="26"/>
          <w:lang w:val="ro-RO" w:eastAsia="en-US"/>
        </w:rPr>
        <w:t>Se recomandă</w:t>
      </w:r>
      <w:r>
        <w:rPr>
          <w:rFonts w:asciiTheme="minorHAnsi" w:eastAsia="Calibri" w:hAnsiTheme="minorHAnsi"/>
          <w:sz w:val="26"/>
          <w:szCs w:val="26"/>
          <w:lang w:val="ro-RO" w:eastAsia="en-US"/>
        </w:rPr>
        <w:t xml:space="preserve"> tuturor avocaților ca o </w:t>
      </w:r>
      <w:r w:rsidR="00752660">
        <w:rPr>
          <w:rFonts w:asciiTheme="minorHAnsi" w:eastAsia="Calibri" w:hAnsiTheme="minorHAnsi"/>
          <w:sz w:val="26"/>
          <w:szCs w:val="26"/>
          <w:lang w:val="ro-RO" w:eastAsia="en-US"/>
        </w:rPr>
        <w:t>astfel de declarație să fie depusă</w:t>
      </w:r>
      <w:r>
        <w:rPr>
          <w:rFonts w:asciiTheme="minorHAnsi" w:eastAsia="Calibri" w:hAnsiTheme="minorHAnsi"/>
          <w:sz w:val="26"/>
          <w:szCs w:val="26"/>
          <w:lang w:val="ro-RO" w:eastAsia="en-US"/>
        </w:rPr>
        <w:t xml:space="preserve"> la barourile la </w:t>
      </w:r>
      <w:r w:rsidR="00752660">
        <w:rPr>
          <w:rFonts w:asciiTheme="minorHAnsi" w:eastAsia="Calibri" w:hAnsiTheme="minorHAnsi"/>
          <w:sz w:val="26"/>
          <w:szCs w:val="26"/>
          <w:lang w:val="ro-RO" w:eastAsia="en-US"/>
        </w:rPr>
        <w:t>care avocații sunt înscrișI iar ȋ</w:t>
      </w:r>
      <w:r>
        <w:rPr>
          <w:rFonts w:asciiTheme="minorHAnsi" w:eastAsia="Calibri" w:hAnsiTheme="minorHAnsi"/>
          <w:sz w:val="26"/>
          <w:szCs w:val="26"/>
          <w:lang w:val="ro-RO" w:eastAsia="en-US"/>
        </w:rPr>
        <w:t xml:space="preserve">n </w:t>
      </w:r>
      <w:r w:rsidR="00752660">
        <w:rPr>
          <w:rFonts w:asciiTheme="minorHAnsi" w:eastAsia="Calibri" w:hAnsiTheme="minorHAnsi"/>
          <w:sz w:val="26"/>
          <w:szCs w:val="26"/>
          <w:lang w:val="ro-RO" w:eastAsia="en-US"/>
        </w:rPr>
        <w:t>cazul celor care fac parte din organele centrale de conducere a le profesiei la U.N.B.R.</w:t>
      </w:r>
      <w:r w:rsidR="00832158">
        <w:rPr>
          <w:rFonts w:asciiTheme="minorHAnsi" w:eastAsia="Calibri" w:hAnsiTheme="minorHAnsi"/>
          <w:sz w:val="26"/>
          <w:szCs w:val="26"/>
          <w:lang w:val="ro-RO" w:eastAsia="en-US"/>
        </w:rPr>
        <w:t xml:space="preserve"> </w:t>
      </w:r>
    </w:p>
    <w:p w14:paraId="5A148037" w14:textId="77777777" w:rsidR="00752660" w:rsidRDefault="00752660" w:rsidP="002310BF">
      <w:pPr>
        <w:spacing w:after="0" w:line="240" w:lineRule="auto"/>
        <w:ind w:firstLine="720"/>
        <w:contextualSpacing/>
        <w:jc w:val="both"/>
        <w:rPr>
          <w:rFonts w:asciiTheme="minorHAnsi" w:eastAsia="Calibri" w:hAnsiTheme="minorHAnsi"/>
          <w:sz w:val="26"/>
          <w:szCs w:val="26"/>
          <w:lang w:val="ro-RO" w:eastAsia="en-US"/>
        </w:rPr>
      </w:pPr>
      <w:r>
        <w:rPr>
          <w:rFonts w:asciiTheme="minorHAnsi" w:eastAsia="Calibri" w:hAnsiTheme="minorHAnsi"/>
          <w:sz w:val="26"/>
          <w:szCs w:val="26"/>
          <w:lang w:val="ro-RO" w:eastAsia="en-US"/>
        </w:rPr>
        <w:t>Au fost prezentate propuneri de proiecte UNBR pentru prezentul mandat, urmând ca acestea să fie analizate ȋn detaliu ȋn ședința următoare.</w:t>
      </w:r>
    </w:p>
    <w:p w14:paraId="5F87AD9F" w14:textId="77777777" w:rsidR="00832158" w:rsidRDefault="00B83530" w:rsidP="002310BF">
      <w:pPr>
        <w:spacing w:after="0" w:line="240" w:lineRule="auto"/>
        <w:ind w:firstLine="720"/>
        <w:contextualSpacing/>
        <w:jc w:val="both"/>
        <w:rPr>
          <w:rFonts w:asciiTheme="minorHAnsi" w:eastAsia="Calibri" w:hAnsiTheme="minorHAnsi"/>
          <w:sz w:val="26"/>
          <w:szCs w:val="26"/>
          <w:lang w:val="ro-RO" w:eastAsia="en-US"/>
        </w:rPr>
      </w:pPr>
      <w:r>
        <w:rPr>
          <w:rFonts w:asciiTheme="minorHAnsi" w:eastAsia="Calibri" w:hAnsiTheme="minorHAnsi"/>
          <w:sz w:val="26"/>
          <w:szCs w:val="26"/>
          <w:lang w:val="ro-RO" w:eastAsia="en-US"/>
        </w:rPr>
        <w:t>Deciziile</w:t>
      </w:r>
      <w:r w:rsidR="00832158">
        <w:rPr>
          <w:rFonts w:asciiTheme="minorHAnsi" w:eastAsia="Calibri" w:hAnsiTheme="minorHAnsi"/>
          <w:sz w:val="26"/>
          <w:szCs w:val="26"/>
          <w:lang w:val="ro-RO" w:eastAsia="en-US"/>
        </w:rPr>
        <w:t xml:space="preserve"> cu caracter public luate în cadrul Comisiei Permanente urmează să fie redactate și publicate pe pagina de internet a Uniunii Naționale a Barourilor din România.</w:t>
      </w:r>
    </w:p>
    <w:p w14:paraId="731C9F53" w14:textId="77777777" w:rsidR="0020567F" w:rsidRDefault="0020567F" w:rsidP="002310BF">
      <w:pPr>
        <w:spacing w:after="0" w:line="240" w:lineRule="auto"/>
        <w:ind w:firstLine="720"/>
        <w:contextualSpacing/>
        <w:jc w:val="both"/>
        <w:rPr>
          <w:rFonts w:asciiTheme="minorHAnsi" w:eastAsia="Calibri" w:hAnsiTheme="minorHAnsi"/>
          <w:sz w:val="26"/>
          <w:szCs w:val="26"/>
          <w:lang w:val="ro-RO" w:eastAsia="en-US"/>
        </w:rPr>
      </w:pPr>
      <w:r>
        <w:rPr>
          <w:rFonts w:asciiTheme="minorHAnsi" w:eastAsia="Calibri" w:hAnsiTheme="minorHAnsi"/>
          <w:sz w:val="26"/>
          <w:szCs w:val="26"/>
          <w:lang w:val="ro-RO" w:eastAsia="en-US"/>
        </w:rPr>
        <w:t xml:space="preserve">Ședința a început la ora 11.00 și s-a încheiat la ora </w:t>
      </w:r>
      <w:r w:rsidR="00D369AB">
        <w:rPr>
          <w:rFonts w:asciiTheme="minorHAnsi" w:eastAsia="Calibri" w:hAnsiTheme="minorHAnsi"/>
          <w:sz w:val="26"/>
          <w:szCs w:val="26"/>
          <w:lang w:val="ro-RO" w:eastAsia="en-US"/>
        </w:rPr>
        <w:t>21.00.</w:t>
      </w:r>
      <w:r>
        <w:rPr>
          <w:rFonts w:asciiTheme="minorHAnsi" w:eastAsia="Calibri" w:hAnsiTheme="minorHAnsi"/>
          <w:sz w:val="26"/>
          <w:szCs w:val="26"/>
          <w:lang w:val="ro-RO" w:eastAsia="en-US"/>
        </w:rPr>
        <w:t xml:space="preserve"> </w:t>
      </w:r>
    </w:p>
    <w:p w14:paraId="2C1928F1" w14:textId="77777777" w:rsidR="00832158" w:rsidRDefault="00832158" w:rsidP="00832158">
      <w:pPr>
        <w:spacing w:after="0" w:line="240" w:lineRule="auto"/>
        <w:contextualSpacing/>
        <w:jc w:val="both"/>
        <w:rPr>
          <w:rFonts w:asciiTheme="minorHAnsi" w:eastAsia="Calibri" w:hAnsiTheme="minorHAnsi"/>
          <w:sz w:val="26"/>
          <w:szCs w:val="26"/>
          <w:lang w:val="ro-RO" w:eastAsia="en-US"/>
        </w:rPr>
      </w:pPr>
    </w:p>
    <w:p w14:paraId="5C446DB5" w14:textId="77777777" w:rsidR="00832158" w:rsidRPr="00832158" w:rsidRDefault="00832158" w:rsidP="00832158">
      <w:pPr>
        <w:spacing w:after="0" w:line="240" w:lineRule="auto"/>
        <w:contextualSpacing/>
        <w:jc w:val="center"/>
        <w:rPr>
          <w:rFonts w:asciiTheme="minorHAnsi" w:eastAsia="Calibri" w:hAnsiTheme="minorHAnsi"/>
          <w:b/>
          <w:sz w:val="26"/>
          <w:szCs w:val="26"/>
          <w:lang w:val="ro-RO" w:eastAsia="en-US"/>
        </w:rPr>
      </w:pPr>
      <w:r w:rsidRPr="00832158">
        <w:rPr>
          <w:rFonts w:asciiTheme="minorHAnsi" w:eastAsia="Calibri" w:hAnsiTheme="minorHAnsi"/>
          <w:b/>
          <w:sz w:val="26"/>
          <w:szCs w:val="26"/>
          <w:lang w:val="ro-RO" w:eastAsia="en-US"/>
        </w:rPr>
        <w:t>COMISIA PERMANENTĂ A UNBR</w:t>
      </w:r>
    </w:p>
    <w:p w14:paraId="48318F85" w14:textId="77777777" w:rsidR="00552652" w:rsidRPr="00133AEE" w:rsidRDefault="00552652" w:rsidP="00966C34">
      <w:pPr>
        <w:spacing w:after="0" w:line="240" w:lineRule="auto"/>
        <w:ind w:firstLine="720"/>
        <w:jc w:val="both"/>
        <w:rPr>
          <w:sz w:val="26"/>
          <w:szCs w:val="26"/>
          <w:lang w:val="ro-RO"/>
        </w:rPr>
      </w:pPr>
    </w:p>
    <w:sectPr w:rsidR="00552652" w:rsidRPr="00133AEE" w:rsidSect="00832158">
      <w:pgSz w:w="11906" w:h="16838"/>
      <w:pgMar w:top="72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827A"/>
      </v:shape>
    </w:pict>
  </w:numPicBullet>
  <w:abstractNum w:abstractNumId="0" w15:restartNumberingAfterBreak="0">
    <w:nsid w:val="03952460"/>
    <w:multiLevelType w:val="hybridMultilevel"/>
    <w:tmpl w:val="79B44EBA"/>
    <w:lvl w:ilvl="0" w:tplc="F59C03CE">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0BA59B0"/>
    <w:multiLevelType w:val="hybridMultilevel"/>
    <w:tmpl w:val="E0A4B518"/>
    <w:lvl w:ilvl="0" w:tplc="04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637B81"/>
    <w:multiLevelType w:val="hybridMultilevel"/>
    <w:tmpl w:val="B2A8502C"/>
    <w:lvl w:ilvl="0" w:tplc="7B9C7944">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2E0929"/>
    <w:multiLevelType w:val="hybridMultilevel"/>
    <w:tmpl w:val="10F847C4"/>
    <w:lvl w:ilvl="0" w:tplc="04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0473BC"/>
    <w:multiLevelType w:val="hybridMultilevel"/>
    <w:tmpl w:val="0C7C38A6"/>
    <w:lvl w:ilvl="0" w:tplc="F5F8F5B0">
      <w:start w:val="1"/>
      <w:numFmt w:val="lowerLetter"/>
      <w:lvlText w:val="%1)"/>
      <w:lvlJc w:val="left"/>
      <w:pPr>
        <w:ind w:left="1080" w:hanging="360"/>
      </w:pPr>
      <w:rPr>
        <w:rFonts w:asciiTheme="minorHAnsi" w:eastAsia="Calibr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F140A6"/>
    <w:multiLevelType w:val="hybridMultilevel"/>
    <w:tmpl w:val="298EB516"/>
    <w:lvl w:ilvl="0" w:tplc="194CF5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33F"/>
    <w:rsid w:val="00133AEE"/>
    <w:rsid w:val="0015533F"/>
    <w:rsid w:val="001B1AF5"/>
    <w:rsid w:val="0020567F"/>
    <w:rsid w:val="002310BF"/>
    <w:rsid w:val="002457B7"/>
    <w:rsid w:val="002D5C0F"/>
    <w:rsid w:val="00334E13"/>
    <w:rsid w:val="0045169B"/>
    <w:rsid w:val="0046563C"/>
    <w:rsid w:val="004D02E2"/>
    <w:rsid w:val="005013C4"/>
    <w:rsid w:val="00552652"/>
    <w:rsid w:val="00552BFD"/>
    <w:rsid w:val="00593BF2"/>
    <w:rsid w:val="005B209C"/>
    <w:rsid w:val="005F0A28"/>
    <w:rsid w:val="00752660"/>
    <w:rsid w:val="007A30E8"/>
    <w:rsid w:val="00832158"/>
    <w:rsid w:val="00963291"/>
    <w:rsid w:val="00966C34"/>
    <w:rsid w:val="00AF49BF"/>
    <w:rsid w:val="00B83530"/>
    <w:rsid w:val="00C6150C"/>
    <w:rsid w:val="00CF30A9"/>
    <w:rsid w:val="00D369AB"/>
    <w:rsid w:val="00E2102B"/>
    <w:rsid w:val="00EC5510"/>
    <w:rsid w:val="00F6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E8B3"/>
  <w15:docId w15:val="{5190D2D6-7FAE-4307-B7FC-943E9AA9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HAnsi"/>
        <w:sz w:val="18"/>
        <w:szCs w:val="1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674283">
      <w:bodyDiv w:val="1"/>
      <w:marLeft w:val="0"/>
      <w:marRight w:val="0"/>
      <w:marTop w:val="0"/>
      <w:marBottom w:val="0"/>
      <w:divBdr>
        <w:top w:val="none" w:sz="0" w:space="0" w:color="auto"/>
        <w:left w:val="none" w:sz="0" w:space="0" w:color="auto"/>
        <w:bottom w:val="none" w:sz="0" w:space="0" w:color="auto"/>
        <w:right w:val="none" w:sz="0" w:space="0" w:color="auto"/>
      </w:divBdr>
    </w:div>
    <w:div w:id="946616077">
      <w:bodyDiv w:val="1"/>
      <w:marLeft w:val="0"/>
      <w:marRight w:val="0"/>
      <w:marTop w:val="0"/>
      <w:marBottom w:val="0"/>
      <w:divBdr>
        <w:top w:val="none" w:sz="0" w:space="0" w:color="auto"/>
        <w:left w:val="none" w:sz="0" w:space="0" w:color="auto"/>
        <w:bottom w:val="none" w:sz="0" w:space="0" w:color="auto"/>
        <w:right w:val="none" w:sz="0" w:space="0" w:color="auto"/>
      </w:divBdr>
    </w:div>
    <w:div w:id="20748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8E4B-2D2C-4B13-AB8E-5198BB87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710</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Sandu Gherasim</cp:lastModifiedBy>
  <cp:revision>5</cp:revision>
  <cp:lastPrinted>2019-08-24T11:18:00Z</cp:lastPrinted>
  <dcterms:created xsi:type="dcterms:W3CDTF">2019-08-24T06:01:00Z</dcterms:created>
  <dcterms:modified xsi:type="dcterms:W3CDTF">2019-08-24T11:19:00Z</dcterms:modified>
</cp:coreProperties>
</file>