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0144" w:rsidRPr="00FC77D8" w:rsidRDefault="00FC77D8" w:rsidP="00DE12DA">
      <w:pPr>
        <w:spacing w:after="0" w:line="240" w:lineRule="auto"/>
        <w:jc w:val="center"/>
        <w:outlineLvl w:val="2"/>
        <w:rPr>
          <w:rFonts w:eastAsia="Times New Roman" w:cstheme="minorHAnsi"/>
          <w:b/>
          <w:bCs/>
          <w:color w:val="050708"/>
          <w:sz w:val="24"/>
          <w:szCs w:val="24"/>
          <w:lang w:eastAsia="ro-RO"/>
        </w:rPr>
      </w:pPr>
      <w:r w:rsidRPr="00FC77D8">
        <w:rPr>
          <w:rFonts w:eastAsia="Times New Roman" w:cstheme="minorHAnsi"/>
          <w:b/>
          <w:bCs/>
          <w:color w:val="050708"/>
          <w:sz w:val="24"/>
          <w:szCs w:val="24"/>
          <w:lang w:eastAsia="ro-RO"/>
        </w:rPr>
        <w:t>Uniunea Națională a Barourilor din România participă la proiectul LawyerEx de schimb de avocați în statele membre UE. Anunț privind selecția participanților</w:t>
      </w:r>
      <w:r w:rsidRPr="00FC77D8">
        <w:rPr>
          <w:rFonts w:eastAsia="Times New Roman" w:cstheme="minorHAnsi"/>
          <w:b/>
          <w:bCs/>
          <w:color w:val="050708"/>
          <w:sz w:val="24"/>
          <w:szCs w:val="24"/>
          <w:lang w:eastAsia="ro-RO"/>
        </w:rPr>
        <w:t>. RUNDA 2</w:t>
      </w:r>
    </w:p>
    <w:p w:rsidR="00F30901" w:rsidRPr="00FC77D8" w:rsidRDefault="00F30901" w:rsidP="00DE12DA">
      <w:pPr>
        <w:spacing w:after="0" w:line="240" w:lineRule="auto"/>
        <w:jc w:val="center"/>
        <w:outlineLvl w:val="2"/>
        <w:rPr>
          <w:rFonts w:eastAsia="Times New Roman" w:cstheme="minorHAnsi"/>
          <w:b/>
          <w:bCs/>
          <w:color w:val="050708"/>
          <w:sz w:val="24"/>
          <w:szCs w:val="24"/>
          <w:lang w:eastAsia="ro-RO"/>
        </w:rPr>
      </w:pPr>
    </w:p>
    <w:p w:rsidR="00FC77D8" w:rsidRPr="00FC77D8" w:rsidRDefault="00FC77D8" w:rsidP="00FC77D8">
      <w:pPr>
        <w:spacing w:after="0" w:line="240" w:lineRule="auto"/>
        <w:jc w:val="both"/>
        <w:rPr>
          <w:rFonts w:eastAsia="Times New Roman" w:cstheme="minorHAnsi"/>
          <w:color w:val="050708"/>
          <w:sz w:val="24"/>
          <w:szCs w:val="24"/>
          <w:lang w:eastAsia="ro-RO"/>
        </w:rPr>
      </w:pPr>
    </w:p>
    <w:p w:rsidR="00FC77D8" w:rsidRPr="00FC77D8" w:rsidRDefault="00FC77D8" w:rsidP="00FC77D8">
      <w:pPr>
        <w:spacing w:after="0" w:line="240" w:lineRule="auto"/>
        <w:jc w:val="both"/>
        <w:rPr>
          <w:rFonts w:eastAsia="Times New Roman" w:cstheme="minorHAnsi"/>
          <w:color w:val="050708"/>
          <w:sz w:val="24"/>
          <w:szCs w:val="24"/>
          <w:lang w:eastAsia="ro-RO"/>
        </w:rPr>
      </w:pPr>
      <w:r w:rsidRPr="00FC77D8">
        <w:rPr>
          <w:rFonts w:eastAsia="Times New Roman" w:cstheme="minorHAnsi"/>
          <w:color w:val="050708"/>
          <w:sz w:val="24"/>
          <w:szCs w:val="24"/>
          <w:lang w:eastAsia="ro-RO"/>
        </w:rPr>
        <w:t>Uniunea Națională a Barourilor din România participă în calitate de partener la Proiectul LawyerEX al cărui scop este schimbul de avocați între țările Uniunii Europene (UE) care urmărește să permită o mai mare mobilitate a avocaților în cadrul Uniunii Europene și să contribuie la dezvoltarea unei culturi judiciare europene.</w:t>
      </w:r>
    </w:p>
    <w:p w:rsidR="00FC77D8" w:rsidRPr="00FC77D8" w:rsidRDefault="00FC77D8" w:rsidP="00FC77D8">
      <w:pPr>
        <w:spacing w:after="0" w:line="240" w:lineRule="auto"/>
        <w:jc w:val="both"/>
        <w:rPr>
          <w:rFonts w:eastAsia="Times New Roman" w:cstheme="minorHAnsi"/>
          <w:color w:val="050708"/>
          <w:sz w:val="24"/>
          <w:szCs w:val="24"/>
          <w:lang w:eastAsia="ro-RO"/>
        </w:rPr>
      </w:pPr>
    </w:p>
    <w:p w:rsidR="00FC77D8" w:rsidRPr="00FC77D8" w:rsidRDefault="00FC77D8" w:rsidP="00FC77D8">
      <w:pPr>
        <w:spacing w:after="0" w:line="240" w:lineRule="auto"/>
        <w:jc w:val="both"/>
        <w:rPr>
          <w:rFonts w:eastAsia="Times New Roman" w:cstheme="minorHAnsi"/>
          <w:color w:val="050708"/>
          <w:sz w:val="24"/>
          <w:szCs w:val="24"/>
          <w:lang w:eastAsia="ro-RO"/>
        </w:rPr>
      </w:pPr>
      <w:r w:rsidRPr="00FC77D8">
        <w:rPr>
          <w:rFonts w:eastAsia="Times New Roman" w:cstheme="minorHAnsi"/>
          <w:color w:val="050708"/>
          <w:sz w:val="24"/>
          <w:szCs w:val="24"/>
          <w:lang w:eastAsia="ro-RO"/>
        </w:rPr>
        <w:t>Proiectul este condus de Fundația Europeană a Avocaților, în parteneriat cu Barourile naționale din Cipru, Cehia, Italia, România, Slovacia și Spania, Baroul Avocaților din Polonia și barourile locale din Atena, Barcelona și Paris. Pe parcursul duratei proiectului (august 2019 – iulie 2021), avocații din 9 state membre ale UE (tineri avocați cu experiență profesională de până la 7 ani) vor avea posibilitatea de a fi instruiți în străinătate în instituții gazdă din sectorul juridic.</w:t>
      </w:r>
    </w:p>
    <w:p w:rsidR="00FC77D8" w:rsidRPr="00FC77D8" w:rsidRDefault="00FC77D8" w:rsidP="00FC77D8">
      <w:pPr>
        <w:spacing w:after="0" w:line="240" w:lineRule="auto"/>
        <w:jc w:val="both"/>
        <w:rPr>
          <w:rFonts w:eastAsia="Times New Roman" w:cstheme="minorHAnsi"/>
          <w:color w:val="050708"/>
          <w:sz w:val="24"/>
          <w:szCs w:val="24"/>
          <w:lang w:eastAsia="ro-RO"/>
        </w:rPr>
      </w:pPr>
    </w:p>
    <w:p w:rsidR="00FC77D8" w:rsidRPr="00FC77D8" w:rsidRDefault="00FC77D8" w:rsidP="00FC77D8">
      <w:pPr>
        <w:spacing w:after="0" w:line="240" w:lineRule="auto"/>
        <w:jc w:val="both"/>
        <w:rPr>
          <w:rFonts w:eastAsia="Times New Roman" w:cstheme="minorHAnsi"/>
          <w:color w:val="050708"/>
          <w:sz w:val="24"/>
          <w:szCs w:val="24"/>
          <w:lang w:eastAsia="ro-RO"/>
        </w:rPr>
      </w:pPr>
      <w:r w:rsidRPr="00FC77D8">
        <w:rPr>
          <w:rFonts w:eastAsia="Times New Roman" w:cstheme="minorHAnsi"/>
          <w:color w:val="050708"/>
          <w:sz w:val="24"/>
          <w:szCs w:val="24"/>
          <w:lang w:eastAsia="ro-RO"/>
        </w:rPr>
        <w:t>Pe durata proiectului sunt prevăzute 4 perioade de schimb între avocații europeni.</w:t>
      </w:r>
    </w:p>
    <w:p w:rsidR="00FC77D8" w:rsidRPr="00FC77D8" w:rsidRDefault="00FC77D8" w:rsidP="00FC77D8">
      <w:pPr>
        <w:spacing w:after="0" w:line="240" w:lineRule="auto"/>
        <w:jc w:val="both"/>
        <w:rPr>
          <w:rFonts w:eastAsia="Times New Roman" w:cstheme="minorHAnsi"/>
          <w:color w:val="050708"/>
          <w:sz w:val="24"/>
          <w:szCs w:val="24"/>
          <w:lang w:eastAsia="ro-RO"/>
        </w:rPr>
      </w:pPr>
    </w:p>
    <w:p w:rsidR="00FC77D8" w:rsidRPr="00FC77D8" w:rsidRDefault="00FC77D8" w:rsidP="00FC77D8">
      <w:pPr>
        <w:spacing w:after="0" w:line="240" w:lineRule="auto"/>
        <w:jc w:val="both"/>
        <w:rPr>
          <w:rFonts w:eastAsia="Times New Roman" w:cstheme="minorHAnsi"/>
          <w:color w:val="050708"/>
          <w:sz w:val="24"/>
          <w:szCs w:val="24"/>
          <w:lang w:eastAsia="ro-RO"/>
        </w:rPr>
      </w:pPr>
      <w:r w:rsidRPr="00FC77D8">
        <w:rPr>
          <w:rFonts w:eastAsia="Times New Roman" w:cstheme="minorHAnsi"/>
          <w:color w:val="050708"/>
          <w:sz w:val="24"/>
          <w:szCs w:val="24"/>
          <w:lang w:eastAsia="ro-RO"/>
        </w:rPr>
        <w:t xml:space="preserve">Apelul la candidaturi </w:t>
      </w:r>
      <w:r w:rsidRPr="00FC77D8">
        <w:rPr>
          <w:rFonts w:eastAsia="Times New Roman" w:cstheme="minorHAnsi"/>
          <w:color w:val="050708"/>
          <w:sz w:val="24"/>
          <w:szCs w:val="24"/>
          <w:lang w:eastAsia="ro-RO"/>
        </w:rPr>
        <w:t xml:space="preserve">(Runda 2) </w:t>
      </w:r>
      <w:r w:rsidRPr="00FC77D8">
        <w:rPr>
          <w:rFonts w:eastAsia="Times New Roman" w:cstheme="minorHAnsi"/>
          <w:color w:val="050708"/>
          <w:sz w:val="24"/>
          <w:szCs w:val="24"/>
          <w:lang w:eastAsia="ro-RO"/>
        </w:rPr>
        <w:t>este lansat de organizațiile partenere respective în diferite perioade pe parcursul fiecărui an (a se vedea tabelele orientative de mai jos). Informații despre apeluri și termenele exacte pot fi solicitate de la persoanele de contact naționale din fiecare țară parteneră (a se vedea, de asemenea, secțiunea V – contacte utile</w:t>
      </w:r>
      <w:r w:rsidRPr="00FC77D8">
        <w:rPr>
          <w:rFonts w:eastAsia="Times New Roman" w:cstheme="minorHAnsi"/>
          <w:color w:val="050708"/>
          <w:sz w:val="24"/>
          <w:szCs w:val="24"/>
          <w:lang w:eastAsia="ro-RO"/>
        </w:rPr>
        <w:t xml:space="preserve"> din </w:t>
      </w:r>
      <w:r w:rsidRPr="00FC77D8">
        <w:rPr>
          <w:rFonts w:eastAsia="Times New Roman" w:cstheme="minorHAnsi"/>
          <w:b/>
          <w:bCs/>
          <w:color w:val="050708"/>
          <w:sz w:val="24"/>
          <w:szCs w:val="24"/>
          <w:u w:val="single"/>
          <w:lang w:eastAsia="ro-RO"/>
        </w:rPr>
        <w:t>Ghidul LawyerEx</w:t>
      </w:r>
      <w:r w:rsidRPr="00FC77D8">
        <w:rPr>
          <w:rFonts w:eastAsia="Times New Roman" w:cstheme="minorHAnsi"/>
          <w:color w:val="050708"/>
          <w:sz w:val="24"/>
          <w:szCs w:val="24"/>
          <w:lang w:eastAsia="ro-RO"/>
        </w:rPr>
        <w:t xml:space="preserve">). În ceea ce privește procesul de aplicare, solicitanții trebuie să completeze formularul de solicitare a proiectului (a se vedea </w:t>
      </w:r>
      <w:r w:rsidRPr="00FC77D8">
        <w:rPr>
          <w:rFonts w:eastAsia="Times New Roman" w:cstheme="minorHAnsi"/>
          <w:b/>
          <w:bCs/>
          <w:color w:val="050708"/>
          <w:sz w:val="24"/>
          <w:szCs w:val="24"/>
          <w:u w:val="single"/>
          <w:lang w:eastAsia="ro-RO"/>
        </w:rPr>
        <w:t>documentul 1</w:t>
      </w:r>
      <w:r w:rsidRPr="00FC77D8">
        <w:rPr>
          <w:rFonts w:eastAsia="Times New Roman" w:cstheme="minorHAnsi"/>
          <w:color w:val="050708"/>
          <w:sz w:val="24"/>
          <w:szCs w:val="24"/>
          <w:lang w:eastAsia="ro-RO"/>
        </w:rPr>
        <w:t xml:space="preserve"> atașat</w:t>
      </w:r>
      <w:bookmarkStart w:id="0" w:name="_GoBack"/>
      <w:bookmarkEnd w:id="0"/>
      <w:r w:rsidRPr="00FC77D8">
        <w:rPr>
          <w:rFonts w:eastAsia="Times New Roman" w:cstheme="minorHAnsi"/>
          <w:color w:val="050708"/>
          <w:sz w:val="24"/>
          <w:szCs w:val="24"/>
          <w:lang w:eastAsia="ro-RO"/>
        </w:rPr>
        <w:t xml:space="preserve">) și să furnizeze informații despre țările preferate pentru schimb (3 preferințe), datele preferate, limbile vorbite și zonele de practică preferate. CV-ul lor (în limba engleză) trebuie, de asemenea, atașat la formularul de înscriere. Avocaților selectați pentru </w:t>
      </w:r>
      <w:r w:rsidRPr="00FC77D8">
        <w:rPr>
          <w:rFonts w:eastAsia="Times New Roman" w:cstheme="minorHAnsi"/>
          <w:color w:val="050708"/>
          <w:sz w:val="24"/>
          <w:szCs w:val="24"/>
          <w:lang w:eastAsia="ro-RO"/>
        </w:rPr>
        <w:t xml:space="preserve">cea de a doua </w:t>
      </w:r>
      <w:r w:rsidRPr="00FC77D8">
        <w:rPr>
          <w:rFonts w:eastAsia="Times New Roman" w:cstheme="minorHAnsi"/>
          <w:color w:val="050708"/>
          <w:sz w:val="24"/>
          <w:szCs w:val="24"/>
          <w:lang w:eastAsia="ro-RO"/>
        </w:rPr>
        <w:t xml:space="preserve">rundă de schimburi li se va oferi un loc de muncă în perioada </w:t>
      </w:r>
      <w:r w:rsidRPr="00FC77D8">
        <w:rPr>
          <w:rFonts w:eastAsia="Times New Roman" w:cstheme="minorHAnsi"/>
          <w:color w:val="050708"/>
          <w:sz w:val="24"/>
          <w:szCs w:val="24"/>
          <w:lang w:eastAsia="ro-RO"/>
        </w:rPr>
        <w:t>martie</w:t>
      </w:r>
      <w:r w:rsidRPr="00FC77D8">
        <w:rPr>
          <w:rFonts w:eastAsia="Times New Roman" w:cstheme="minorHAnsi"/>
          <w:color w:val="050708"/>
          <w:sz w:val="24"/>
          <w:szCs w:val="24"/>
          <w:lang w:eastAsia="ro-RO"/>
        </w:rPr>
        <w:t xml:space="preserve"> – </w:t>
      </w:r>
      <w:r w:rsidRPr="00FC77D8">
        <w:rPr>
          <w:rFonts w:eastAsia="Times New Roman" w:cstheme="minorHAnsi"/>
          <w:color w:val="050708"/>
          <w:sz w:val="24"/>
          <w:szCs w:val="24"/>
          <w:lang w:eastAsia="ro-RO"/>
        </w:rPr>
        <w:t xml:space="preserve">iunie </w:t>
      </w:r>
      <w:r w:rsidRPr="00FC77D8">
        <w:rPr>
          <w:rFonts w:eastAsia="Times New Roman" w:cstheme="minorHAnsi"/>
          <w:color w:val="050708"/>
          <w:sz w:val="24"/>
          <w:szCs w:val="24"/>
          <w:lang w:eastAsia="ro-RO"/>
        </w:rPr>
        <w:t>2020, ținând cont de preferințele lor și de disponibilitatea posturilor în instituțiile gazdă. Depunerea candidaturilor presupune ca persoanele interesate sunt de acord cu termenele și condițiile ELF privind protecția datelor personale.</w:t>
      </w:r>
    </w:p>
    <w:p w:rsidR="00FC77D8" w:rsidRPr="00FC77D8" w:rsidRDefault="00FC77D8" w:rsidP="00FC77D8">
      <w:pPr>
        <w:jc w:val="both"/>
        <w:rPr>
          <w:rFonts w:ascii="Verdana" w:hAnsi="Verdana" w:cs="Arial"/>
          <w:sz w:val="20"/>
          <w:szCs w:val="20"/>
        </w:rPr>
      </w:pPr>
    </w:p>
    <w:tbl>
      <w:tblPr>
        <w:tblStyle w:val="Tabelgril"/>
        <w:tblW w:w="0" w:type="auto"/>
        <w:tblLook w:val="04A0" w:firstRow="1" w:lastRow="0" w:firstColumn="1" w:lastColumn="0" w:noHBand="0" w:noVBand="1"/>
      </w:tblPr>
      <w:tblGrid>
        <w:gridCol w:w="2129"/>
        <w:gridCol w:w="642"/>
        <w:gridCol w:w="668"/>
        <w:gridCol w:w="709"/>
        <w:gridCol w:w="664"/>
        <w:gridCol w:w="652"/>
        <w:gridCol w:w="636"/>
        <w:gridCol w:w="718"/>
        <w:gridCol w:w="675"/>
        <w:gridCol w:w="709"/>
        <w:gridCol w:w="659"/>
      </w:tblGrid>
      <w:tr w:rsidR="00FC77D8" w:rsidRPr="00FC77D8" w:rsidTr="00C379BA">
        <w:tc>
          <w:tcPr>
            <w:tcW w:w="0" w:type="auto"/>
            <w:tcBorders>
              <w:top w:val="nil"/>
              <w:left w:val="nil"/>
              <w:bottom w:val="nil"/>
              <w:right w:val="single" w:sz="4" w:space="0" w:color="auto"/>
            </w:tcBorders>
          </w:tcPr>
          <w:p w:rsidR="00FC77D8" w:rsidRPr="00FC77D8" w:rsidRDefault="00FC77D8" w:rsidP="00C379BA">
            <w:pPr>
              <w:jc w:val="both"/>
              <w:rPr>
                <w:rFonts w:ascii="Verdana" w:hAnsi="Verdana" w:cs="Arial"/>
                <w:b/>
                <w:lang w:val="ro-RO"/>
              </w:rPr>
            </w:pPr>
          </w:p>
        </w:tc>
        <w:tc>
          <w:tcPr>
            <w:tcW w:w="0" w:type="auto"/>
            <w:gridSpan w:val="4"/>
            <w:tcBorders>
              <w:left w:val="single" w:sz="4" w:space="0" w:color="auto"/>
            </w:tcBorders>
          </w:tcPr>
          <w:p w:rsidR="00FC77D8" w:rsidRPr="00FC77D8" w:rsidRDefault="00FC77D8" w:rsidP="00C379BA">
            <w:pPr>
              <w:jc w:val="center"/>
              <w:rPr>
                <w:rFonts w:ascii="Verdana" w:hAnsi="Verdana" w:cs="Arial"/>
                <w:b/>
                <w:lang w:val="ro-RO"/>
              </w:rPr>
            </w:pPr>
            <w:r w:rsidRPr="00FC77D8">
              <w:rPr>
                <w:rFonts w:ascii="Verdana" w:hAnsi="Verdana" w:cs="Arial"/>
                <w:b/>
                <w:lang w:val="ro-RO"/>
              </w:rPr>
              <w:t>2019</w:t>
            </w:r>
          </w:p>
        </w:tc>
        <w:tc>
          <w:tcPr>
            <w:tcW w:w="0" w:type="auto"/>
            <w:gridSpan w:val="6"/>
          </w:tcPr>
          <w:p w:rsidR="00FC77D8" w:rsidRPr="00FC77D8" w:rsidRDefault="00FC77D8" w:rsidP="00C379BA">
            <w:pPr>
              <w:jc w:val="center"/>
              <w:rPr>
                <w:rFonts w:ascii="Verdana" w:hAnsi="Verdana" w:cs="Arial"/>
                <w:b/>
                <w:lang w:val="ro-RO"/>
              </w:rPr>
            </w:pPr>
            <w:r w:rsidRPr="00FC77D8">
              <w:rPr>
                <w:rFonts w:ascii="Verdana" w:hAnsi="Verdana" w:cs="Arial"/>
                <w:b/>
                <w:lang w:val="ro-RO"/>
              </w:rPr>
              <w:t>2020</w:t>
            </w:r>
          </w:p>
        </w:tc>
      </w:tr>
      <w:tr w:rsidR="00FC77D8" w:rsidRPr="00FC77D8" w:rsidTr="00C379BA">
        <w:tc>
          <w:tcPr>
            <w:tcW w:w="0" w:type="auto"/>
            <w:tcBorders>
              <w:top w:val="nil"/>
              <w:left w:val="nil"/>
              <w:bottom w:val="single" w:sz="4" w:space="0" w:color="auto"/>
              <w:right w:val="single" w:sz="4" w:space="0" w:color="auto"/>
            </w:tcBorders>
          </w:tcPr>
          <w:p w:rsidR="00FC77D8" w:rsidRPr="00FC77D8" w:rsidRDefault="00FC77D8" w:rsidP="00C379BA">
            <w:pPr>
              <w:jc w:val="both"/>
              <w:rPr>
                <w:rFonts w:ascii="Verdana" w:hAnsi="Verdana" w:cs="Arial"/>
                <w:b/>
                <w:lang w:val="ro-RO"/>
              </w:rPr>
            </w:pPr>
          </w:p>
        </w:tc>
        <w:tc>
          <w:tcPr>
            <w:tcW w:w="0" w:type="auto"/>
            <w:tcBorders>
              <w:left w:val="single" w:sz="4" w:space="0" w:color="auto"/>
            </w:tcBorders>
          </w:tcPr>
          <w:p w:rsidR="00FC77D8" w:rsidRPr="00FC77D8" w:rsidRDefault="00FC77D8" w:rsidP="00C379BA">
            <w:pPr>
              <w:jc w:val="both"/>
              <w:rPr>
                <w:rFonts w:ascii="Verdana" w:hAnsi="Verdana" w:cs="Arial"/>
                <w:b/>
                <w:lang w:val="ro-RO"/>
              </w:rPr>
            </w:pPr>
            <w:r w:rsidRPr="00FC77D8">
              <w:rPr>
                <w:rFonts w:ascii="Verdana" w:hAnsi="Verdana" w:cs="Arial"/>
                <w:b/>
                <w:lang w:val="ro-RO"/>
              </w:rPr>
              <w:t>SEP</w:t>
            </w:r>
          </w:p>
        </w:tc>
        <w:tc>
          <w:tcPr>
            <w:tcW w:w="0" w:type="auto"/>
          </w:tcPr>
          <w:p w:rsidR="00FC77D8" w:rsidRPr="00FC77D8" w:rsidRDefault="00FC77D8" w:rsidP="00C379BA">
            <w:pPr>
              <w:jc w:val="both"/>
              <w:rPr>
                <w:rFonts w:ascii="Verdana" w:hAnsi="Verdana" w:cs="Arial"/>
                <w:b/>
                <w:lang w:val="ro-RO"/>
              </w:rPr>
            </w:pPr>
            <w:r w:rsidRPr="00FC77D8">
              <w:rPr>
                <w:rFonts w:ascii="Verdana" w:hAnsi="Verdana" w:cs="Arial"/>
                <w:b/>
                <w:lang w:val="ro-RO"/>
              </w:rPr>
              <w:t>OCT</w:t>
            </w:r>
          </w:p>
        </w:tc>
        <w:tc>
          <w:tcPr>
            <w:tcW w:w="0" w:type="auto"/>
          </w:tcPr>
          <w:p w:rsidR="00FC77D8" w:rsidRPr="00FC77D8" w:rsidRDefault="00FC77D8" w:rsidP="00C379BA">
            <w:pPr>
              <w:jc w:val="both"/>
              <w:rPr>
                <w:rFonts w:ascii="Verdana" w:hAnsi="Verdana" w:cs="Arial"/>
                <w:b/>
                <w:lang w:val="ro-RO"/>
              </w:rPr>
            </w:pPr>
            <w:r w:rsidRPr="00FC77D8">
              <w:rPr>
                <w:rFonts w:ascii="Verdana" w:hAnsi="Verdana" w:cs="Arial"/>
                <w:b/>
                <w:lang w:val="ro-RO"/>
              </w:rPr>
              <w:t>NOV</w:t>
            </w:r>
          </w:p>
        </w:tc>
        <w:tc>
          <w:tcPr>
            <w:tcW w:w="0" w:type="auto"/>
          </w:tcPr>
          <w:p w:rsidR="00FC77D8" w:rsidRPr="00FC77D8" w:rsidRDefault="00FC77D8" w:rsidP="00C379BA">
            <w:pPr>
              <w:jc w:val="both"/>
              <w:rPr>
                <w:rFonts w:ascii="Verdana" w:hAnsi="Verdana" w:cs="Arial"/>
                <w:b/>
                <w:lang w:val="ro-RO"/>
              </w:rPr>
            </w:pPr>
            <w:r w:rsidRPr="00FC77D8">
              <w:rPr>
                <w:rFonts w:ascii="Verdana" w:hAnsi="Verdana" w:cs="Arial"/>
                <w:b/>
                <w:lang w:val="ro-RO"/>
              </w:rPr>
              <w:t>DEC</w:t>
            </w:r>
          </w:p>
        </w:tc>
        <w:tc>
          <w:tcPr>
            <w:tcW w:w="0" w:type="auto"/>
          </w:tcPr>
          <w:p w:rsidR="00FC77D8" w:rsidRPr="00FC77D8" w:rsidRDefault="00FC77D8" w:rsidP="00C379BA">
            <w:pPr>
              <w:jc w:val="both"/>
              <w:rPr>
                <w:rFonts w:ascii="Verdana" w:hAnsi="Verdana" w:cs="Arial"/>
                <w:b/>
                <w:lang w:val="ro-RO"/>
              </w:rPr>
            </w:pPr>
            <w:r w:rsidRPr="00FC77D8">
              <w:rPr>
                <w:rFonts w:ascii="Verdana" w:hAnsi="Verdana" w:cs="Arial"/>
                <w:b/>
                <w:lang w:val="ro-RO"/>
              </w:rPr>
              <w:t>JAN</w:t>
            </w:r>
          </w:p>
        </w:tc>
        <w:tc>
          <w:tcPr>
            <w:tcW w:w="0" w:type="auto"/>
          </w:tcPr>
          <w:p w:rsidR="00FC77D8" w:rsidRPr="00FC77D8" w:rsidRDefault="00FC77D8" w:rsidP="00C379BA">
            <w:pPr>
              <w:jc w:val="both"/>
              <w:rPr>
                <w:rFonts w:ascii="Verdana" w:hAnsi="Verdana" w:cs="Arial"/>
                <w:b/>
                <w:lang w:val="ro-RO"/>
              </w:rPr>
            </w:pPr>
            <w:r w:rsidRPr="00FC77D8">
              <w:rPr>
                <w:rFonts w:ascii="Verdana" w:hAnsi="Verdana" w:cs="Arial"/>
                <w:b/>
                <w:lang w:val="ro-RO"/>
              </w:rPr>
              <w:t>FEB</w:t>
            </w:r>
          </w:p>
        </w:tc>
        <w:tc>
          <w:tcPr>
            <w:tcW w:w="0" w:type="auto"/>
          </w:tcPr>
          <w:p w:rsidR="00FC77D8" w:rsidRPr="00FC77D8" w:rsidRDefault="00FC77D8" w:rsidP="00C379BA">
            <w:pPr>
              <w:jc w:val="both"/>
              <w:rPr>
                <w:rFonts w:ascii="Verdana" w:hAnsi="Verdana" w:cs="Arial"/>
                <w:b/>
                <w:lang w:val="ro-RO"/>
              </w:rPr>
            </w:pPr>
            <w:r w:rsidRPr="00FC77D8">
              <w:rPr>
                <w:rFonts w:ascii="Verdana" w:hAnsi="Verdana" w:cs="Arial"/>
                <w:b/>
                <w:lang w:val="ro-RO"/>
              </w:rPr>
              <w:t>MAR</w:t>
            </w:r>
          </w:p>
        </w:tc>
        <w:tc>
          <w:tcPr>
            <w:tcW w:w="0" w:type="auto"/>
          </w:tcPr>
          <w:p w:rsidR="00FC77D8" w:rsidRPr="00FC77D8" w:rsidRDefault="00FC77D8" w:rsidP="00C379BA">
            <w:pPr>
              <w:jc w:val="both"/>
              <w:rPr>
                <w:rFonts w:ascii="Verdana" w:hAnsi="Verdana" w:cs="Arial"/>
                <w:b/>
                <w:lang w:val="ro-RO"/>
              </w:rPr>
            </w:pPr>
            <w:r w:rsidRPr="00FC77D8">
              <w:rPr>
                <w:rFonts w:ascii="Verdana" w:hAnsi="Verdana" w:cs="Arial"/>
                <w:b/>
                <w:lang w:val="ro-RO"/>
              </w:rPr>
              <w:t>APR</w:t>
            </w:r>
          </w:p>
        </w:tc>
        <w:tc>
          <w:tcPr>
            <w:tcW w:w="0" w:type="auto"/>
          </w:tcPr>
          <w:p w:rsidR="00FC77D8" w:rsidRPr="00FC77D8" w:rsidRDefault="00FC77D8" w:rsidP="00C379BA">
            <w:pPr>
              <w:jc w:val="both"/>
              <w:rPr>
                <w:rFonts w:ascii="Verdana" w:hAnsi="Verdana" w:cs="Arial"/>
                <w:b/>
                <w:lang w:val="ro-RO"/>
              </w:rPr>
            </w:pPr>
            <w:r w:rsidRPr="00FC77D8">
              <w:rPr>
                <w:rFonts w:ascii="Verdana" w:hAnsi="Verdana" w:cs="Arial"/>
                <w:b/>
                <w:lang w:val="ro-RO"/>
              </w:rPr>
              <w:t>MAY</w:t>
            </w:r>
          </w:p>
        </w:tc>
        <w:tc>
          <w:tcPr>
            <w:tcW w:w="0" w:type="auto"/>
          </w:tcPr>
          <w:p w:rsidR="00FC77D8" w:rsidRPr="00FC77D8" w:rsidRDefault="00FC77D8" w:rsidP="00C379BA">
            <w:pPr>
              <w:jc w:val="both"/>
              <w:rPr>
                <w:rFonts w:ascii="Verdana" w:hAnsi="Verdana" w:cs="Arial"/>
                <w:b/>
                <w:lang w:val="ro-RO"/>
              </w:rPr>
            </w:pPr>
            <w:r w:rsidRPr="00FC77D8">
              <w:rPr>
                <w:rFonts w:ascii="Verdana" w:hAnsi="Verdana" w:cs="Arial"/>
                <w:b/>
                <w:lang w:val="ro-RO"/>
              </w:rPr>
              <w:t>JUN</w:t>
            </w:r>
          </w:p>
        </w:tc>
      </w:tr>
      <w:tr w:rsidR="00FC77D8" w:rsidRPr="00FC77D8" w:rsidTr="00C379BA">
        <w:tc>
          <w:tcPr>
            <w:tcW w:w="0" w:type="auto"/>
            <w:tcBorders>
              <w:top w:val="single" w:sz="4" w:space="0" w:color="auto"/>
            </w:tcBorders>
          </w:tcPr>
          <w:p w:rsidR="00FC77D8" w:rsidRPr="00FC77D8" w:rsidRDefault="00FC77D8" w:rsidP="00C379BA">
            <w:pPr>
              <w:jc w:val="both"/>
              <w:rPr>
                <w:rFonts w:ascii="Verdana" w:hAnsi="Verdana" w:cs="Arial"/>
                <w:lang w:val="ro-RO"/>
              </w:rPr>
            </w:pPr>
            <w:r w:rsidRPr="00FC77D8">
              <w:rPr>
                <w:rFonts w:ascii="Verdana" w:hAnsi="Verdana" w:cs="Arial"/>
                <w:lang w:val="ro-RO"/>
              </w:rPr>
              <w:t>Procedura selectie</w:t>
            </w:r>
          </w:p>
          <w:p w:rsidR="00FC77D8" w:rsidRPr="00FC77D8" w:rsidRDefault="00FC77D8" w:rsidP="00C379BA">
            <w:pPr>
              <w:jc w:val="both"/>
              <w:rPr>
                <w:rFonts w:ascii="Verdana" w:hAnsi="Verdana" w:cs="Arial"/>
                <w:lang w:val="ro-RO"/>
              </w:rPr>
            </w:pPr>
            <w:r w:rsidRPr="00FC77D8">
              <w:rPr>
                <w:rFonts w:ascii="Verdana" w:hAnsi="Verdana" w:cs="Arial"/>
                <w:lang w:val="ro-RO"/>
              </w:rPr>
              <w:t>Runda 1</w:t>
            </w:r>
          </w:p>
        </w:tc>
        <w:tc>
          <w:tcPr>
            <w:tcW w:w="0" w:type="auto"/>
            <w:shd w:val="clear" w:color="auto" w:fill="FFD966" w:themeFill="accent4" w:themeFillTint="99"/>
          </w:tcPr>
          <w:p w:rsidR="00FC77D8" w:rsidRPr="00FC77D8" w:rsidRDefault="00FC77D8" w:rsidP="00C379BA">
            <w:pPr>
              <w:jc w:val="both"/>
              <w:rPr>
                <w:rFonts w:ascii="Verdana" w:hAnsi="Verdana" w:cs="Arial"/>
                <w:b/>
                <w:lang w:val="ro-RO"/>
              </w:rPr>
            </w:pPr>
          </w:p>
        </w:tc>
        <w:tc>
          <w:tcPr>
            <w:tcW w:w="0" w:type="auto"/>
            <w:shd w:val="clear" w:color="auto" w:fill="FFD966" w:themeFill="accent4" w:themeFillTint="99"/>
          </w:tcPr>
          <w:p w:rsidR="00FC77D8" w:rsidRPr="00FC77D8" w:rsidRDefault="00FC77D8" w:rsidP="00C379BA">
            <w:pPr>
              <w:jc w:val="both"/>
              <w:rPr>
                <w:rFonts w:ascii="Verdana" w:hAnsi="Verdana" w:cs="Arial"/>
                <w:b/>
                <w:lang w:val="ro-RO"/>
              </w:rPr>
            </w:pPr>
          </w:p>
        </w:tc>
        <w:tc>
          <w:tcPr>
            <w:tcW w:w="0" w:type="auto"/>
          </w:tcPr>
          <w:p w:rsidR="00FC77D8" w:rsidRPr="00FC77D8" w:rsidRDefault="00FC77D8" w:rsidP="00C379BA">
            <w:pPr>
              <w:jc w:val="both"/>
              <w:rPr>
                <w:rFonts w:ascii="Verdana" w:hAnsi="Verdana" w:cs="Arial"/>
                <w:b/>
                <w:lang w:val="ro-RO"/>
              </w:rPr>
            </w:pPr>
          </w:p>
        </w:tc>
        <w:tc>
          <w:tcPr>
            <w:tcW w:w="0" w:type="auto"/>
          </w:tcPr>
          <w:p w:rsidR="00FC77D8" w:rsidRPr="00FC77D8" w:rsidRDefault="00FC77D8" w:rsidP="00C379BA">
            <w:pPr>
              <w:jc w:val="both"/>
              <w:rPr>
                <w:rFonts w:ascii="Verdana" w:hAnsi="Verdana" w:cs="Arial"/>
                <w:b/>
                <w:lang w:val="ro-RO"/>
              </w:rPr>
            </w:pPr>
          </w:p>
        </w:tc>
        <w:tc>
          <w:tcPr>
            <w:tcW w:w="0" w:type="auto"/>
          </w:tcPr>
          <w:p w:rsidR="00FC77D8" w:rsidRPr="00FC77D8" w:rsidRDefault="00FC77D8" w:rsidP="00C379BA">
            <w:pPr>
              <w:jc w:val="both"/>
              <w:rPr>
                <w:rFonts w:ascii="Verdana" w:hAnsi="Verdana" w:cs="Arial"/>
                <w:b/>
                <w:lang w:val="ro-RO"/>
              </w:rPr>
            </w:pPr>
          </w:p>
        </w:tc>
        <w:tc>
          <w:tcPr>
            <w:tcW w:w="0" w:type="auto"/>
          </w:tcPr>
          <w:p w:rsidR="00FC77D8" w:rsidRPr="00FC77D8" w:rsidRDefault="00FC77D8" w:rsidP="00C379BA">
            <w:pPr>
              <w:jc w:val="both"/>
              <w:rPr>
                <w:rFonts w:ascii="Verdana" w:hAnsi="Verdana" w:cs="Arial"/>
                <w:b/>
                <w:lang w:val="ro-RO"/>
              </w:rPr>
            </w:pPr>
          </w:p>
        </w:tc>
        <w:tc>
          <w:tcPr>
            <w:tcW w:w="0" w:type="auto"/>
          </w:tcPr>
          <w:p w:rsidR="00FC77D8" w:rsidRPr="00FC77D8" w:rsidRDefault="00FC77D8" w:rsidP="00C379BA">
            <w:pPr>
              <w:jc w:val="both"/>
              <w:rPr>
                <w:rFonts w:ascii="Verdana" w:hAnsi="Verdana" w:cs="Arial"/>
                <w:b/>
                <w:lang w:val="ro-RO"/>
              </w:rPr>
            </w:pPr>
          </w:p>
        </w:tc>
        <w:tc>
          <w:tcPr>
            <w:tcW w:w="0" w:type="auto"/>
          </w:tcPr>
          <w:p w:rsidR="00FC77D8" w:rsidRPr="00FC77D8" w:rsidRDefault="00FC77D8" w:rsidP="00C379BA">
            <w:pPr>
              <w:jc w:val="both"/>
              <w:rPr>
                <w:rFonts w:ascii="Verdana" w:hAnsi="Verdana" w:cs="Arial"/>
                <w:b/>
                <w:lang w:val="ro-RO"/>
              </w:rPr>
            </w:pPr>
          </w:p>
        </w:tc>
        <w:tc>
          <w:tcPr>
            <w:tcW w:w="0" w:type="auto"/>
          </w:tcPr>
          <w:p w:rsidR="00FC77D8" w:rsidRPr="00FC77D8" w:rsidRDefault="00FC77D8" w:rsidP="00C379BA">
            <w:pPr>
              <w:jc w:val="both"/>
              <w:rPr>
                <w:rFonts w:ascii="Verdana" w:hAnsi="Verdana" w:cs="Arial"/>
                <w:b/>
                <w:lang w:val="ro-RO"/>
              </w:rPr>
            </w:pPr>
          </w:p>
        </w:tc>
        <w:tc>
          <w:tcPr>
            <w:tcW w:w="0" w:type="auto"/>
          </w:tcPr>
          <w:p w:rsidR="00FC77D8" w:rsidRPr="00FC77D8" w:rsidRDefault="00FC77D8" w:rsidP="00C379BA">
            <w:pPr>
              <w:jc w:val="both"/>
              <w:rPr>
                <w:rFonts w:ascii="Verdana" w:hAnsi="Verdana" w:cs="Arial"/>
                <w:b/>
                <w:lang w:val="ro-RO"/>
              </w:rPr>
            </w:pPr>
          </w:p>
        </w:tc>
      </w:tr>
      <w:tr w:rsidR="00FC77D8" w:rsidRPr="00FC77D8" w:rsidTr="00C379BA">
        <w:tc>
          <w:tcPr>
            <w:tcW w:w="0" w:type="auto"/>
          </w:tcPr>
          <w:p w:rsidR="00FC77D8" w:rsidRPr="00FC77D8" w:rsidRDefault="00FC77D8" w:rsidP="00C379BA">
            <w:pPr>
              <w:jc w:val="both"/>
              <w:rPr>
                <w:rFonts w:ascii="Verdana" w:hAnsi="Verdana" w:cs="Arial"/>
                <w:lang w:val="ro-RO"/>
              </w:rPr>
            </w:pPr>
            <w:r w:rsidRPr="00FC77D8">
              <w:rPr>
                <w:rFonts w:ascii="Verdana" w:hAnsi="Verdana" w:cs="Arial"/>
                <w:lang w:val="ro-RO"/>
              </w:rPr>
              <w:t xml:space="preserve">Schimburi Runda 1 </w:t>
            </w:r>
          </w:p>
        </w:tc>
        <w:tc>
          <w:tcPr>
            <w:tcW w:w="0" w:type="auto"/>
          </w:tcPr>
          <w:p w:rsidR="00FC77D8" w:rsidRPr="00FC77D8" w:rsidRDefault="00FC77D8" w:rsidP="00C379BA">
            <w:pPr>
              <w:jc w:val="both"/>
              <w:rPr>
                <w:rFonts w:ascii="Verdana" w:hAnsi="Verdana" w:cs="Arial"/>
                <w:b/>
                <w:lang w:val="ro-RO"/>
              </w:rPr>
            </w:pPr>
          </w:p>
        </w:tc>
        <w:tc>
          <w:tcPr>
            <w:tcW w:w="0" w:type="auto"/>
          </w:tcPr>
          <w:p w:rsidR="00FC77D8" w:rsidRPr="00FC77D8" w:rsidRDefault="00FC77D8" w:rsidP="00C379BA">
            <w:pPr>
              <w:jc w:val="both"/>
              <w:rPr>
                <w:rFonts w:ascii="Verdana" w:hAnsi="Verdana" w:cs="Arial"/>
                <w:b/>
                <w:lang w:val="ro-RO"/>
              </w:rPr>
            </w:pPr>
          </w:p>
        </w:tc>
        <w:tc>
          <w:tcPr>
            <w:tcW w:w="0" w:type="auto"/>
            <w:shd w:val="clear" w:color="auto" w:fill="FFF2CC" w:themeFill="accent4" w:themeFillTint="33"/>
          </w:tcPr>
          <w:p w:rsidR="00FC77D8" w:rsidRPr="00FC77D8" w:rsidRDefault="00FC77D8" w:rsidP="00C379BA">
            <w:pPr>
              <w:jc w:val="both"/>
              <w:rPr>
                <w:rFonts w:ascii="Verdana" w:hAnsi="Verdana" w:cs="Arial"/>
                <w:b/>
                <w:lang w:val="ro-RO"/>
              </w:rPr>
            </w:pPr>
          </w:p>
        </w:tc>
        <w:tc>
          <w:tcPr>
            <w:tcW w:w="0" w:type="auto"/>
            <w:shd w:val="clear" w:color="auto" w:fill="FFF2CC" w:themeFill="accent4" w:themeFillTint="33"/>
          </w:tcPr>
          <w:p w:rsidR="00FC77D8" w:rsidRPr="00FC77D8" w:rsidRDefault="00FC77D8" w:rsidP="00C379BA">
            <w:pPr>
              <w:jc w:val="both"/>
              <w:rPr>
                <w:rFonts w:ascii="Verdana" w:hAnsi="Verdana" w:cs="Arial"/>
                <w:b/>
                <w:lang w:val="ro-RO"/>
              </w:rPr>
            </w:pPr>
          </w:p>
        </w:tc>
        <w:tc>
          <w:tcPr>
            <w:tcW w:w="0" w:type="auto"/>
            <w:shd w:val="clear" w:color="auto" w:fill="FFF2CC" w:themeFill="accent4" w:themeFillTint="33"/>
          </w:tcPr>
          <w:p w:rsidR="00FC77D8" w:rsidRPr="00FC77D8" w:rsidRDefault="00FC77D8" w:rsidP="00C379BA">
            <w:pPr>
              <w:jc w:val="both"/>
              <w:rPr>
                <w:rFonts w:ascii="Verdana" w:hAnsi="Verdana" w:cs="Arial"/>
                <w:b/>
                <w:lang w:val="ro-RO"/>
              </w:rPr>
            </w:pPr>
          </w:p>
        </w:tc>
        <w:tc>
          <w:tcPr>
            <w:tcW w:w="0" w:type="auto"/>
            <w:shd w:val="clear" w:color="auto" w:fill="FFF2CC" w:themeFill="accent4" w:themeFillTint="33"/>
          </w:tcPr>
          <w:p w:rsidR="00FC77D8" w:rsidRPr="00FC77D8" w:rsidRDefault="00FC77D8" w:rsidP="00C379BA">
            <w:pPr>
              <w:jc w:val="both"/>
              <w:rPr>
                <w:rFonts w:ascii="Verdana" w:hAnsi="Verdana" w:cs="Arial"/>
                <w:b/>
                <w:lang w:val="ro-RO"/>
              </w:rPr>
            </w:pPr>
          </w:p>
        </w:tc>
        <w:tc>
          <w:tcPr>
            <w:tcW w:w="0" w:type="auto"/>
          </w:tcPr>
          <w:p w:rsidR="00FC77D8" w:rsidRPr="00FC77D8" w:rsidRDefault="00FC77D8" w:rsidP="00C379BA">
            <w:pPr>
              <w:jc w:val="both"/>
              <w:rPr>
                <w:rFonts w:ascii="Verdana" w:hAnsi="Verdana" w:cs="Arial"/>
                <w:b/>
                <w:lang w:val="ro-RO"/>
              </w:rPr>
            </w:pPr>
          </w:p>
        </w:tc>
        <w:tc>
          <w:tcPr>
            <w:tcW w:w="0" w:type="auto"/>
          </w:tcPr>
          <w:p w:rsidR="00FC77D8" w:rsidRPr="00FC77D8" w:rsidRDefault="00FC77D8" w:rsidP="00C379BA">
            <w:pPr>
              <w:jc w:val="both"/>
              <w:rPr>
                <w:rFonts w:ascii="Verdana" w:hAnsi="Verdana" w:cs="Arial"/>
                <w:b/>
                <w:lang w:val="ro-RO"/>
              </w:rPr>
            </w:pPr>
          </w:p>
        </w:tc>
        <w:tc>
          <w:tcPr>
            <w:tcW w:w="0" w:type="auto"/>
          </w:tcPr>
          <w:p w:rsidR="00FC77D8" w:rsidRPr="00FC77D8" w:rsidRDefault="00FC77D8" w:rsidP="00C379BA">
            <w:pPr>
              <w:jc w:val="both"/>
              <w:rPr>
                <w:rFonts w:ascii="Verdana" w:hAnsi="Verdana" w:cs="Arial"/>
                <w:b/>
                <w:lang w:val="ro-RO"/>
              </w:rPr>
            </w:pPr>
          </w:p>
        </w:tc>
        <w:tc>
          <w:tcPr>
            <w:tcW w:w="0" w:type="auto"/>
          </w:tcPr>
          <w:p w:rsidR="00FC77D8" w:rsidRPr="00FC77D8" w:rsidRDefault="00FC77D8" w:rsidP="00C379BA">
            <w:pPr>
              <w:jc w:val="both"/>
              <w:rPr>
                <w:rFonts w:ascii="Verdana" w:hAnsi="Verdana" w:cs="Arial"/>
                <w:b/>
                <w:lang w:val="ro-RO"/>
              </w:rPr>
            </w:pPr>
          </w:p>
        </w:tc>
      </w:tr>
      <w:tr w:rsidR="00FC77D8" w:rsidRPr="00FC77D8" w:rsidTr="00C379BA">
        <w:tc>
          <w:tcPr>
            <w:tcW w:w="0" w:type="auto"/>
          </w:tcPr>
          <w:p w:rsidR="00FC77D8" w:rsidRPr="00FC77D8" w:rsidRDefault="00FC77D8" w:rsidP="00FC77D8">
            <w:pPr>
              <w:jc w:val="both"/>
              <w:rPr>
                <w:rFonts w:ascii="Verdana" w:hAnsi="Verdana" w:cs="Arial"/>
                <w:lang w:val="ro-RO"/>
              </w:rPr>
            </w:pPr>
            <w:r w:rsidRPr="00FC77D8">
              <w:rPr>
                <w:rFonts w:ascii="Verdana" w:hAnsi="Verdana" w:cs="Arial"/>
                <w:lang w:val="ro-RO"/>
              </w:rPr>
              <w:t>Procedura selectie</w:t>
            </w:r>
          </w:p>
          <w:p w:rsidR="00FC77D8" w:rsidRPr="00FC77D8" w:rsidRDefault="00FC77D8" w:rsidP="00FC77D8">
            <w:pPr>
              <w:jc w:val="both"/>
              <w:rPr>
                <w:rFonts w:ascii="Verdana" w:hAnsi="Verdana" w:cs="Arial"/>
                <w:lang w:val="ro-RO"/>
              </w:rPr>
            </w:pPr>
            <w:r w:rsidRPr="00FC77D8">
              <w:rPr>
                <w:rFonts w:ascii="Verdana" w:hAnsi="Verdana" w:cs="Arial"/>
                <w:lang w:val="ro-RO"/>
              </w:rPr>
              <w:t xml:space="preserve">Runda </w:t>
            </w:r>
            <w:r>
              <w:rPr>
                <w:rFonts w:ascii="Verdana" w:hAnsi="Verdana" w:cs="Arial"/>
                <w:lang w:val="ro-RO"/>
              </w:rPr>
              <w:t>2</w:t>
            </w:r>
          </w:p>
        </w:tc>
        <w:tc>
          <w:tcPr>
            <w:tcW w:w="0" w:type="auto"/>
          </w:tcPr>
          <w:p w:rsidR="00FC77D8" w:rsidRPr="00FC77D8" w:rsidRDefault="00FC77D8" w:rsidP="00C379BA">
            <w:pPr>
              <w:jc w:val="both"/>
              <w:rPr>
                <w:rFonts w:ascii="Verdana" w:hAnsi="Verdana" w:cs="Arial"/>
                <w:b/>
                <w:lang w:val="ro-RO"/>
              </w:rPr>
            </w:pPr>
          </w:p>
        </w:tc>
        <w:tc>
          <w:tcPr>
            <w:tcW w:w="0" w:type="auto"/>
          </w:tcPr>
          <w:p w:rsidR="00FC77D8" w:rsidRPr="00FC77D8" w:rsidRDefault="00FC77D8" w:rsidP="00C379BA">
            <w:pPr>
              <w:jc w:val="both"/>
              <w:rPr>
                <w:rFonts w:ascii="Verdana" w:hAnsi="Verdana" w:cs="Arial"/>
                <w:b/>
                <w:lang w:val="ro-RO"/>
              </w:rPr>
            </w:pPr>
          </w:p>
        </w:tc>
        <w:tc>
          <w:tcPr>
            <w:tcW w:w="0" w:type="auto"/>
          </w:tcPr>
          <w:p w:rsidR="00FC77D8" w:rsidRPr="00FC77D8" w:rsidRDefault="00FC77D8" w:rsidP="00C379BA">
            <w:pPr>
              <w:jc w:val="both"/>
              <w:rPr>
                <w:rFonts w:ascii="Verdana" w:hAnsi="Verdana" w:cs="Arial"/>
                <w:b/>
                <w:lang w:val="ro-RO"/>
              </w:rPr>
            </w:pPr>
          </w:p>
        </w:tc>
        <w:tc>
          <w:tcPr>
            <w:tcW w:w="0" w:type="auto"/>
            <w:shd w:val="clear" w:color="auto" w:fill="FFD966" w:themeFill="accent4" w:themeFillTint="99"/>
          </w:tcPr>
          <w:p w:rsidR="00FC77D8" w:rsidRPr="00FC77D8" w:rsidRDefault="00FC77D8" w:rsidP="00C379BA">
            <w:pPr>
              <w:jc w:val="both"/>
              <w:rPr>
                <w:rFonts w:ascii="Verdana" w:hAnsi="Verdana" w:cs="Arial"/>
                <w:b/>
                <w:lang w:val="ro-RO"/>
              </w:rPr>
            </w:pPr>
          </w:p>
        </w:tc>
        <w:tc>
          <w:tcPr>
            <w:tcW w:w="0" w:type="auto"/>
            <w:shd w:val="clear" w:color="auto" w:fill="FFD966" w:themeFill="accent4" w:themeFillTint="99"/>
          </w:tcPr>
          <w:p w:rsidR="00FC77D8" w:rsidRPr="00FC77D8" w:rsidRDefault="00FC77D8" w:rsidP="00C379BA">
            <w:pPr>
              <w:jc w:val="both"/>
              <w:rPr>
                <w:rFonts w:ascii="Verdana" w:hAnsi="Verdana" w:cs="Arial"/>
                <w:b/>
                <w:lang w:val="ro-RO"/>
              </w:rPr>
            </w:pPr>
          </w:p>
        </w:tc>
        <w:tc>
          <w:tcPr>
            <w:tcW w:w="0" w:type="auto"/>
            <w:shd w:val="clear" w:color="auto" w:fill="auto"/>
          </w:tcPr>
          <w:p w:rsidR="00FC77D8" w:rsidRPr="00FC77D8" w:rsidRDefault="00FC77D8" w:rsidP="00C379BA">
            <w:pPr>
              <w:jc w:val="both"/>
              <w:rPr>
                <w:rFonts w:ascii="Verdana" w:hAnsi="Verdana" w:cs="Arial"/>
                <w:b/>
                <w:lang w:val="ro-RO"/>
              </w:rPr>
            </w:pPr>
          </w:p>
        </w:tc>
        <w:tc>
          <w:tcPr>
            <w:tcW w:w="0" w:type="auto"/>
          </w:tcPr>
          <w:p w:rsidR="00FC77D8" w:rsidRPr="00FC77D8" w:rsidRDefault="00FC77D8" w:rsidP="00C379BA">
            <w:pPr>
              <w:jc w:val="both"/>
              <w:rPr>
                <w:rFonts w:ascii="Verdana" w:hAnsi="Verdana" w:cs="Arial"/>
                <w:b/>
                <w:lang w:val="ro-RO"/>
              </w:rPr>
            </w:pPr>
          </w:p>
        </w:tc>
        <w:tc>
          <w:tcPr>
            <w:tcW w:w="0" w:type="auto"/>
          </w:tcPr>
          <w:p w:rsidR="00FC77D8" w:rsidRPr="00FC77D8" w:rsidRDefault="00FC77D8" w:rsidP="00C379BA">
            <w:pPr>
              <w:jc w:val="both"/>
              <w:rPr>
                <w:rFonts w:ascii="Verdana" w:hAnsi="Verdana" w:cs="Arial"/>
                <w:b/>
                <w:lang w:val="ro-RO"/>
              </w:rPr>
            </w:pPr>
          </w:p>
        </w:tc>
        <w:tc>
          <w:tcPr>
            <w:tcW w:w="0" w:type="auto"/>
          </w:tcPr>
          <w:p w:rsidR="00FC77D8" w:rsidRPr="00FC77D8" w:rsidRDefault="00FC77D8" w:rsidP="00C379BA">
            <w:pPr>
              <w:jc w:val="both"/>
              <w:rPr>
                <w:rFonts w:ascii="Verdana" w:hAnsi="Verdana" w:cs="Arial"/>
                <w:b/>
                <w:lang w:val="ro-RO"/>
              </w:rPr>
            </w:pPr>
          </w:p>
        </w:tc>
        <w:tc>
          <w:tcPr>
            <w:tcW w:w="0" w:type="auto"/>
          </w:tcPr>
          <w:p w:rsidR="00FC77D8" w:rsidRPr="00FC77D8" w:rsidRDefault="00FC77D8" w:rsidP="00C379BA">
            <w:pPr>
              <w:jc w:val="both"/>
              <w:rPr>
                <w:rFonts w:ascii="Verdana" w:hAnsi="Verdana" w:cs="Arial"/>
                <w:b/>
                <w:lang w:val="ro-RO"/>
              </w:rPr>
            </w:pPr>
          </w:p>
        </w:tc>
      </w:tr>
      <w:tr w:rsidR="00FC77D8" w:rsidRPr="00FC77D8" w:rsidTr="00C379BA">
        <w:tc>
          <w:tcPr>
            <w:tcW w:w="0" w:type="auto"/>
          </w:tcPr>
          <w:p w:rsidR="00FC77D8" w:rsidRPr="00FC77D8" w:rsidRDefault="00FC77D8" w:rsidP="00C379BA">
            <w:pPr>
              <w:jc w:val="both"/>
              <w:rPr>
                <w:rFonts w:ascii="Verdana" w:hAnsi="Verdana" w:cs="Arial"/>
                <w:lang w:val="ro-RO"/>
              </w:rPr>
            </w:pPr>
            <w:r w:rsidRPr="00FC77D8">
              <w:rPr>
                <w:rFonts w:ascii="Verdana" w:hAnsi="Verdana" w:cs="Arial"/>
                <w:lang w:val="ro-RO"/>
              </w:rPr>
              <w:t xml:space="preserve">Schimburi Runda </w:t>
            </w:r>
            <w:r>
              <w:rPr>
                <w:rFonts w:ascii="Verdana" w:hAnsi="Verdana" w:cs="Arial"/>
                <w:lang w:val="ro-RO"/>
              </w:rPr>
              <w:t>2</w:t>
            </w:r>
          </w:p>
        </w:tc>
        <w:tc>
          <w:tcPr>
            <w:tcW w:w="0" w:type="auto"/>
          </w:tcPr>
          <w:p w:rsidR="00FC77D8" w:rsidRPr="00FC77D8" w:rsidRDefault="00FC77D8" w:rsidP="00C379BA">
            <w:pPr>
              <w:jc w:val="both"/>
              <w:rPr>
                <w:rFonts w:ascii="Verdana" w:hAnsi="Verdana" w:cs="Arial"/>
                <w:b/>
                <w:lang w:val="ro-RO"/>
              </w:rPr>
            </w:pPr>
          </w:p>
        </w:tc>
        <w:tc>
          <w:tcPr>
            <w:tcW w:w="0" w:type="auto"/>
          </w:tcPr>
          <w:p w:rsidR="00FC77D8" w:rsidRPr="00FC77D8" w:rsidRDefault="00FC77D8" w:rsidP="00C379BA">
            <w:pPr>
              <w:jc w:val="both"/>
              <w:rPr>
                <w:rFonts w:ascii="Verdana" w:hAnsi="Verdana" w:cs="Arial"/>
                <w:b/>
                <w:lang w:val="ro-RO"/>
              </w:rPr>
            </w:pPr>
          </w:p>
        </w:tc>
        <w:tc>
          <w:tcPr>
            <w:tcW w:w="0" w:type="auto"/>
          </w:tcPr>
          <w:p w:rsidR="00FC77D8" w:rsidRPr="00FC77D8" w:rsidRDefault="00FC77D8" w:rsidP="00C379BA">
            <w:pPr>
              <w:jc w:val="both"/>
              <w:rPr>
                <w:rFonts w:ascii="Verdana" w:hAnsi="Verdana" w:cs="Arial"/>
                <w:b/>
                <w:lang w:val="ro-RO"/>
              </w:rPr>
            </w:pPr>
          </w:p>
        </w:tc>
        <w:tc>
          <w:tcPr>
            <w:tcW w:w="0" w:type="auto"/>
          </w:tcPr>
          <w:p w:rsidR="00FC77D8" w:rsidRPr="00FC77D8" w:rsidRDefault="00FC77D8" w:rsidP="00C379BA">
            <w:pPr>
              <w:jc w:val="both"/>
              <w:rPr>
                <w:rFonts w:ascii="Verdana" w:hAnsi="Verdana" w:cs="Arial"/>
                <w:b/>
                <w:lang w:val="ro-RO"/>
              </w:rPr>
            </w:pPr>
          </w:p>
        </w:tc>
        <w:tc>
          <w:tcPr>
            <w:tcW w:w="0" w:type="auto"/>
          </w:tcPr>
          <w:p w:rsidR="00FC77D8" w:rsidRPr="00FC77D8" w:rsidRDefault="00FC77D8" w:rsidP="00C379BA">
            <w:pPr>
              <w:jc w:val="both"/>
              <w:rPr>
                <w:rFonts w:ascii="Verdana" w:hAnsi="Verdana" w:cs="Arial"/>
                <w:b/>
                <w:lang w:val="ro-RO"/>
              </w:rPr>
            </w:pPr>
          </w:p>
        </w:tc>
        <w:tc>
          <w:tcPr>
            <w:tcW w:w="0" w:type="auto"/>
          </w:tcPr>
          <w:p w:rsidR="00FC77D8" w:rsidRPr="00FC77D8" w:rsidRDefault="00FC77D8" w:rsidP="00C379BA">
            <w:pPr>
              <w:jc w:val="both"/>
              <w:rPr>
                <w:rFonts w:ascii="Verdana" w:hAnsi="Verdana" w:cs="Arial"/>
                <w:b/>
                <w:lang w:val="ro-RO"/>
              </w:rPr>
            </w:pPr>
          </w:p>
        </w:tc>
        <w:tc>
          <w:tcPr>
            <w:tcW w:w="0" w:type="auto"/>
            <w:shd w:val="clear" w:color="auto" w:fill="FFF2CC" w:themeFill="accent4" w:themeFillTint="33"/>
          </w:tcPr>
          <w:p w:rsidR="00FC77D8" w:rsidRPr="00FC77D8" w:rsidRDefault="00FC77D8" w:rsidP="00C379BA">
            <w:pPr>
              <w:jc w:val="both"/>
              <w:rPr>
                <w:rFonts w:ascii="Verdana" w:hAnsi="Verdana" w:cs="Arial"/>
                <w:b/>
                <w:lang w:val="ro-RO"/>
              </w:rPr>
            </w:pPr>
          </w:p>
        </w:tc>
        <w:tc>
          <w:tcPr>
            <w:tcW w:w="0" w:type="auto"/>
            <w:shd w:val="clear" w:color="auto" w:fill="FFF2CC" w:themeFill="accent4" w:themeFillTint="33"/>
          </w:tcPr>
          <w:p w:rsidR="00FC77D8" w:rsidRPr="00FC77D8" w:rsidRDefault="00FC77D8" w:rsidP="00C379BA">
            <w:pPr>
              <w:jc w:val="both"/>
              <w:rPr>
                <w:rFonts w:ascii="Verdana" w:hAnsi="Verdana" w:cs="Arial"/>
                <w:b/>
                <w:lang w:val="ro-RO"/>
              </w:rPr>
            </w:pPr>
          </w:p>
        </w:tc>
        <w:tc>
          <w:tcPr>
            <w:tcW w:w="0" w:type="auto"/>
            <w:shd w:val="clear" w:color="auto" w:fill="FFF2CC" w:themeFill="accent4" w:themeFillTint="33"/>
          </w:tcPr>
          <w:p w:rsidR="00FC77D8" w:rsidRPr="00FC77D8" w:rsidRDefault="00FC77D8" w:rsidP="00C379BA">
            <w:pPr>
              <w:jc w:val="both"/>
              <w:rPr>
                <w:rFonts w:ascii="Verdana" w:hAnsi="Verdana" w:cs="Arial"/>
                <w:b/>
                <w:lang w:val="ro-RO"/>
              </w:rPr>
            </w:pPr>
          </w:p>
        </w:tc>
        <w:tc>
          <w:tcPr>
            <w:tcW w:w="0" w:type="auto"/>
            <w:shd w:val="clear" w:color="auto" w:fill="FFF2CC" w:themeFill="accent4" w:themeFillTint="33"/>
          </w:tcPr>
          <w:p w:rsidR="00FC77D8" w:rsidRPr="00FC77D8" w:rsidRDefault="00FC77D8" w:rsidP="00C379BA">
            <w:pPr>
              <w:jc w:val="both"/>
              <w:rPr>
                <w:rFonts w:ascii="Verdana" w:hAnsi="Verdana" w:cs="Arial"/>
                <w:b/>
                <w:lang w:val="ro-RO"/>
              </w:rPr>
            </w:pPr>
          </w:p>
        </w:tc>
      </w:tr>
      <w:tr w:rsidR="00FC77D8" w:rsidRPr="00FC77D8" w:rsidTr="00C379BA">
        <w:tc>
          <w:tcPr>
            <w:tcW w:w="0" w:type="auto"/>
          </w:tcPr>
          <w:p w:rsidR="00FC77D8" w:rsidRPr="00FC77D8" w:rsidRDefault="00FC77D8" w:rsidP="00FC77D8">
            <w:pPr>
              <w:jc w:val="both"/>
              <w:rPr>
                <w:rFonts w:ascii="Verdana" w:hAnsi="Verdana" w:cs="Arial"/>
                <w:lang w:val="ro-RO"/>
              </w:rPr>
            </w:pPr>
            <w:r w:rsidRPr="00FC77D8">
              <w:rPr>
                <w:rFonts w:ascii="Verdana" w:hAnsi="Verdana" w:cs="Arial"/>
                <w:lang w:val="ro-RO"/>
              </w:rPr>
              <w:t>Procedura selectie</w:t>
            </w:r>
          </w:p>
          <w:p w:rsidR="00FC77D8" w:rsidRPr="00FC77D8" w:rsidRDefault="00FC77D8" w:rsidP="00FC77D8">
            <w:pPr>
              <w:jc w:val="both"/>
              <w:rPr>
                <w:rFonts w:ascii="Verdana" w:hAnsi="Verdana" w:cs="Arial"/>
                <w:lang w:val="ro-RO"/>
              </w:rPr>
            </w:pPr>
            <w:r w:rsidRPr="00FC77D8">
              <w:rPr>
                <w:rFonts w:ascii="Verdana" w:hAnsi="Verdana" w:cs="Arial"/>
                <w:lang w:val="ro-RO"/>
              </w:rPr>
              <w:t xml:space="preserve">Runda </w:t>
            </w:r>
            <w:r>
              <w:rPr>
                <w:rFonts w:ascii="Verdana" w:hAnsi="Verdana" w:cs="Arial"/>
                <w:lang w:val="ro-RO"/>
              </w:rPr>
              <w:t>3</w:t>
            </w:r>
          </w:p>
        </w:tc>
        <w:tc>
          <w:tcPr>
            <w:tcW w:w="0" w:type="auto"/>
          </w:tcPr>
          <w:p w:rsidR="00FC77D8" w:rsidRPr="00FC77D8" w:rsidRDefault="00FC77D8" w:rsidP="00C379BA">
            <w:pPr>
              <w:jc w:val="both"/>
              <w:rPr>
                <w:rFonts w:ascii="Verdana" w:hAnsi="Verdana" w:cs="Arial"/>
                <w:b/>
                <w:lang w:val="ro-RO"/>
              </w:rPr>
            </w:pPr>
          </w:p>
        </w:tc>
        <w:tc>
          <w:tcPr>
            <w:tcW w:w="0" w:type="auto"/>
          </w:tcPr>
          <w:p w:rsidR="00FC77D8" w:rsidRPr="00FC77D8" w:rsidRDefault="00FC77D8" w:rsidP="00C379BA">
            <w:pPr>
              <w:jc w:val="both"/>
              <w:rPr>
                <w:rFonts w:ascii="Verdana" w:hAnsi="Verdana" w:cs="Arial"/>
                <w:b/>
                <w:lang w:val="ro-RO"/>
              </w:rPr>
            </w:pPr>
          </w:p>
        </w:tc>
        <w:tc>
          <w:tcPr>
            <w:tcW w:w="0" w:type="auto"/>
          </w:tcPr>
          <w:p w:rsidR="00FC77D8" w:rsidRPr="00FC77D8" w:rsidRDefault="00FC77D8" w:rsidP="00C379BA">
            <w:pPr>
              <w:jc w:val="both"/>
              <w:rPr>
                <w:rFonts w:ascii="Verdana" w:hAnsi="Verdana" w:cs="Arial"/>
                <w:b/>
                <w:lang w:val="ro-RO"/>
              </w:rPr>
            </w:pPr>
          </w:p>
        </w:tc>
        <w:tc>
          <w:tcPr>
            <w:tcW w:w="0" w:type="auto"/>
          </w:tcPr>
          <w:p w:rsidR="00FC77D8" w:rsidRPr="00FC77D8" w:rsidRDefault="00FC77D8" w:rsidP="00C379BA">
            <w:pPr>
              <w:jc w:val="both"/>
              <w:rPr>
                <w:rFonts w:ascii="Verdana" w:hAnsi="Verdana" w:cs="Arial"/>
                <w:b/>
                <w:lang w:val="ro-RO"/>
              </w:rPr>
            </w:pPr>
          </w:p>
        </w:tc>
        <w:tc>
          <w:tcPr>
            <w:tcW w:w="0" w:type="auto"/>
          </w:tcPr>
          <w:p w:rsidR="00FC77D8" w:rsidRPr="00FC77D8" w:rsidRDefault="00FC77D8" w:rsidP="00C379BA">
            <w:pPr>
              <w:jc w:val="both"/>
              <w:rPr>
                <w:rFonts w:ascii="Verdana" w:hAnsi="Verdana" w:cs="Arial"/>
                <w:b/>
                <w:lang w:val="ro-RO"/>
              </w:rPr>
            </w:pPr>
          </w:p>
        </w:tc>
        <w:tc>
          <w:tcPr>
            <w:tcW w:w="0" w:type="auto"/>
          </w:tcPr>
          <w:p w:rsidR="00FC77D8" w:rsidRPr="00FC77D8" w:rsidRDefault="00FC77D8" w:rsidP="00C379BA">
            <w:pPr>
              <w:jc w:val="both"/>
              <w:rPr>
                <w:rFonts w:ascii="Verdana" w:hAnsi="Verdana" w:cs="Arial"/>
                <w:b/>
                <w:lang w:val="ro-RO"/>
              </w:rPr>
            </w:pPr>
          </w:p>
        </w:tc>
        <w:tc>
          <w:tcPr>
            <w:tcW w:w="0" w:type="auto"/>
            <w:shd w:val="clear" w:color="auto" w:fill="auto"/>
          </w:tcPr>
          <w:p w:rsidR="00FC77D8" w:rsidRPr="00FC77D8" w:rsidRDefault="00FC77D8" w:rsidP="00C379BA">
            <w:pPr>
              <w:jc w:val="both"/>
              <w:rPr>
                <w:rFonts w:ascii="Verdana" w:hAnsi="Verdana" w:cs="Arial"/>
                <w:b/>
                <w:lang w:val="ro-RO"/>
              </w:rPr>
            </w:pPr>
          </w:p>
        </w:tc>
        <w:tc>
          <w:tcPr>
            <w:tcW w:w="0" w:type="auto"/>
            <w:shd w:val="clear" w:color="auto" w:fill="auto"/>
          </w:tcPr>
          <w:p w:rsidR="00FC77D8" w:rsidRPr="00FC77D8" w:rsidRDefault="00FC77D8" w:rsidP="00C379BA">
            <w:pPr>
              <w:jc w:val="both"/>
              <w:rPr>
                <w:rFonts w:ascii="Verdana" w:hAnsi="Verdana" w:cs="Arial"/>
                <w:b/>
                <w:lang w:val="ro-RO"/>
              </w:rPr>
            </w:pPr>
          </w:p>
        </w:tc>
        <w:tc>
          <w:tcPr>
            <w:tcW w:w="0" w:type="auto"/>
            <w:shd w:val="clear" w:color="auto" w:fill="FFD966" w:themeFill="accent4" w:themeFillTint="99"/>
          </w:tcPr>
          <w:p w:rsidR="00FC77D8" w:rsidRPr="00FC77D8" w:rsidRDefault="00FC77D8" w:rsidP="00C379BA">
            <w:pPr>
              <w:jc w:val="both"/>
              <w:rPr>
                <w:rFonts w:ascii="Verdana" w:hAnsi="Verdana" w:cs="Arial"/>
                <w:b/>
                <w:lang w:val="ro-RO"/>
              </w:rPr>
            </w:pPr>
          </w:p>
        </w:tc>
        <w:tc>
          <w:tcPr>
            <w:tcW w:w="0" w:type="auto"/>
            <w:shd w:val="clear" w:color="auto" w:fill="FFD966" w:themeFill="accent4" w:themeFillTint="99"/>
          </w:tcPr>
          <w:p w:rsidR="00FC77D8" w:rsidRPr="00FC77D8" w:rsidRDefault="00FC77D8" w:rsidP="00C379BA">
            <w:pPr>
              <w:jc w:val="both"/>
              <w:rPr>
                <w:rFonts w:ascii="Verdana" w:hAnsi="Verdana" w:cs="Arial"/>
                <w:b/>
                <w:lang w:val="ro-RO"/>
              </w:rPr>
            </w:pPr>
          </w:p>
        </w:tc>
      </w:tr>
    </w:tbl>
    <w:p w:rsidR="00FC77D8" w:rsidRPr="00FC77D8" w:rsidRDefault="00FC77D8" w:rsidP="00FC77D8">
      <w:pPr>
        <w:jc w:val="both"/>
        <w:rPr>
          <w:rFonts w:ascii="Verdana" w:hAnsi="Verdana" w:cs="Arial"/>
          <w:b/>
          <w:szCs w:val="20"/>
        </w:rPr>
      </w:pPr>
    </w:p>
    <w:tbl>
      <w:tblPr>
        <w:tblStyle w:val="Tabelgril"/>
        <w:tblW w:w="0" w:type="auto"/>
        <w:tblLook w:val="04A0" w:firstRow="1" w:lastRow="0" w:firstColumn="1" w:lastColumn="0" w:noHBand="0" w:noVBand="1"/>
      </w:tblPr>
      <w:tblGrid>
        <w:gridCol w:w="2129"/>
        <w:gridCol w:w="617"/>
        <w:gridCol w:w="696"/>
        <w:gridCol w:w="642"/>
        <w:gridCol w:w="668"/>
        <w:gridCol w:w="709"/>
        <w:gridCol w:w="664"/>
        <w:gridCol w:w="652"/>
        <w:gridCol w:w="636"/>
        <w:gridCol w:w="718"/>
        <w:gridCol w:w="718"/>
      </w:tblGrid>
      <w:tr w:rsidR="00FC77D8" w:rsidRPr="00FC77D8" w:rsidTr="00C379BA">
        <w:tc>
          <w:tcPr>
            <w:tcW w:w="0" w:type="auto"/>
            <w:tcBorders>
              <w:top w:val="nil"/>
              <w:left w:val="nil"/>
              <w:bottom w:val="nil"/>
              <w:right w:val="single" w:sz="4" w:space="0" w:color="auto"/>
            </w:tcBorders>
          </w:tcPr>
          <w:p w:rsidR="00FC77D8" w:rsidRPr="00FC77D8" w:rsidRDefault="00FC77D8" w:rsidP="00C379BA">
            <w:pPr>
              <w:jc w:val="both"/>
              <w:rPr>
                <w:rFonts w:ascii="Verdana" w:hAnsi="Verdana" w:cs="Arial"/>
                <w:b/>
                <w:lang w:val="ro-RO"/>
              </w:rPr>
            </w:pPr>
          </w:p>
        </w:tc>
        <w:tc>
          <w:tcPr>
            <w:tcW w:w="0" w:type="auto"/>
            <w:gridSpan w:val="6"/>
            <w:tcBorders>
              <w:left w:val="single" w:sz="4" w:space="0" w:color="auto"/>
            </w:tcBorders>
          </w:tcPr>
          <w:p w:rsidR="00FC77D8" w:rsidRPr="00FC77D8" w:rsidRDefault="00FC77D8" w:rsidP="00C379BA">
            <w:pPr>
              <w:jc w:val="center"/>
              <w:rPr>
                <w:rFonts w:ascii="Verdana" w:hAnsi="Verdana" w:cs="Arial"/>
                <w:b/>
                <w:lang w:val="ro-RO"/>
              </w:rPr>
            </w:pPr>
            <w:r w:rsidRPr="00FC77D8">
              <w:rPr>
                <w:rFonts w:ascii="Verdana" w:hAnsi="Verdana" w:cs="Arial"/>
                <w:b/>
                <w:lang w:val="ro-RO"/>
              </w:rPr>
              <w:t>2020</w:t>
            </w:r>
          </w:p>
        </w:tc>
        <w:tc>
          <w:tcPr>
            <w:tcW w:w="2724" w:type="dxa"/>
            <w:gridSpan w:val="4"/>
          </w:tcPr>
          <w:p w:rsidR="00FC77D8" w:rsidRPr="00FC77D8" w:rsidRDefault="00FC77D8" w:rsidP="00C379BA">
            <w:pPr>
              <w:jc w:val="center"/>
              <w:rPr>
                <w:rFonts w:ascii="Verdana" w:hAnsi="Verdana" w:cs="Arial"/>
                <w:b/>
                <w:lang w:val="ro-RO"/>
              </w:rPr>
            </w:pPr>
            <w:r w:rsidRPr="00FC77D8">
              <w:rPr>
                <w:rFonts w:ascii="Verdana" w:hAnsi="Verdana" w:cs="Arial"/>
                <w:b/>
                <w:lang w:val="ro-RO"/>
              </w:rPr>
              <w:t>2021</w:t>
            </w:r>
          </w:p>
        </w:tc>
      </w:tr>
      <w:tr w:rsidR="00FC77D8" w:rsidRPr="00FC77D8" w:rsidTr="00C379BA">
        <w:tc>
          <w:tcPr>
            <w:tcW w:w="0" w:type="auto"/>
            <w:tcBorders>
              <w:top w:val="nil"/>
              <w:left w:val="nil"/>
              <w:bottom w:val="single" w:sz="4" w:space="0" w:color="auto"/>
              <w:right w:val="single" w:sz="4" w:space="0" w:color="auto"/>
            </w:tcBorders>
          </w:tcPr>
          <w:p w:rsidR="00FC77D8" w:rsidRPr="00FC77D8" w:rsidRDefault="00FC77D8" w:rsidP="00C379BA">
            <w:pPr>
              <w:jc w:val="both"/>
              <w:rPr>
                <w:rFonts w:ascii="Verdana" w:hAnsi="Verdana" w:cs="Arial"/>
                <w:b/>
                <w:lang w:val="ro-RO"/>
              </w:rPr>
            </w:pPr>
          </w:p>
        </w:tc>
        <w:tc>
          <w:tcPr>
            <w:tcW w:w="0" w:type="auto"/>
            <w:tcBorders>
              <w:left w:val="single" w:sz="4" w:space="0" w:color="auto"/>
            </w:tcBorders>
          </w:tcPr>
          <w:p w:rsidR="00FC77D8" w:rsidRPr="00FC77D8" w:rsidRDefault="00FC77D8" w:rsidP="00C379BA">
            <w:pPr>
              <w:jc w:val="both"/>
              <w:rPr>
                <w:rFonts w:ascii="Verdana" w:hAnsi="Verdana" w:cs="Arial"/>
                <w:b/>
                <w:lang w:val="ro-RO"/>
              </w:rPr>
            </w:pPr>
            <w:r w:rsidRPr="00FC77D8">
              <w:rPr>
                <w:rFonts w:ascii="Verdana" w:hAnsi="Verdana" w:cs="Arial"/>
                <w:b/>
                <w:lang w:val="ro-RO"/>
              </w:rPr>
              <w:t>JUL</w:t>
            </w:r>
          </w:p>
        </w:tc>
        <w:tc>
          <w:tcPr>
            <w:tcW w:w="0" w:type="auto"/>
            <w:tcBorders>
              <w:bottom w:val="single" w:sz="4" w:space="0" w:color="auto"/>
            </w:tcBorders>
          </w:tcPr>
          <w:p w:rsidR="00FC77D8" w:rsidRPr="00FC77D8" w:rsidRDefault="00FC77D8" w:rsidP="00C379BA">
            <w:pPr>
              <w:jc w:val="both"/>
              <w:rPr>
                <w:rFonts w:ascii="Verdana" w:hAnsi="Verdana" w:cs="Arial"/>
                <w:b/>
                <w:lang w:val="ro-RO"/>
              </w:rPr>
            </w:pPr>
            <w:r w:rsidRPr="00FC77D8">
              <w:rPr>
                <w:rFonts w:ascii="Verdana" w:hAnsi="Verdana" w:cs="Arial"/>
                <w:b/>
                <w:lang w:val="ro-RO"/>
              </w:rPr>
              <w:t>AUG</w:t>
            </w:r>
          </w:p>
        </w:tc>
        <w:tc>
          <w:tcPr>
            <w:tcW w:w="0" w:type="auto"/>
          </w:tcPr>
          <w:p w:rsidR="00FC77D8" w:rsidRPr="00FC77D8" w:rsidRDefault="00FC77D8" w:rsidP="00C379BA">
            <w:pPr>
              <w:jc w:val="both"/>
              <w:rPr>
                <w:rFonts w:ascii="Verdana" w:hAnsi="Verdana" w:cs="Arial"/>
                <w:b/>
                <w:lang w:val="ro-RO"/>
              </w:rPr>
            </w:pPr>
            <w:r w:rsidRPr="00FC77D8">
              <w:rPr>
                <w:rFonts w:ascii="Verdana" w:hAnsi="Verdana" w:cs="Arial"/>
                <w:b/>
                <w:lang w:val="ro-RO"/>
              </w:rPr>
              <w:t>SEP</w:t>
            </w:r>
          </w:p>
        </w:tc>
        <w:tc>
          <w:tcPr>
            <w:tcW w:w="0" w:type="auto"/>
          </w:tcPr>
          <w:p w:rsidR="00FC77D8" w:rsidRPr="00FC77D8" w:rsidRDefault="00FC77D8" w:rsidP="00C379BA">
            <w:pPr>
              <w:jc w:val="both"/>
              <w:rPr>
                <w:rFonts w:ascii="Verdana" w:hAnsi="Verdana" w:cs="Arial"/>
                <w:b/>
                <w:lang w:val="ro-RO"/>
              </w:rPr>
            </w:pPr>
            <w:r w:rsidRPr="00FC77D8">
              <w:rPr>
                <w:rFonts w:ascii="Verdana" w:hAnsi="Verdana" w:cs="Arial"/>
                <w:b/>
                <w:lang w:val="ro-RO"/>
              </w:rPr>
              <w:t>OCT</w:t>
            </w:r>
          </w:p>
        </w:tc>
        <w:tc>
          <w:tcPr>
            <w:tcW w:w="0" w:type="auto"/>
          </w:tcPr>
          <w:p w:rsidR="00FC77D8" w:rsidRPr="00FC77D8" w:rsidRDefault="00FC77D8" w:rsidP="00C379BA">
            <w:pPr>
              <w:jc w:val="both"/>
              <w:rPr>
                <w:rFonts w:ascii="Verdana" w:hAnsi="Verdana" w:cs="Arial"/>
                <w:b/>
                <w:lang w:val="ro-RO"/>
              </w:rPr>
            </w:pPr>
            <w:r w:rsidRPr="00FC77D8">
              <w:rPr>
                <w:rFonts w:ascii="Verdana" w:hAnsi="Verdana" w:cs="Arial"/>
                <w:b/>
                <w:lang w:val="ro-RO"/>
              </w:rPr>
              <w:t>NOV</w:t>
            </w:r>
          </w:p>
        </w:tc>
        <w:tc>
          <w:tcPr>
            <w:tcW w:w="0" w:type="auto"/>
          </w:tcPr>
          <w:p w:rsidR="00FC77D8" w:rsidRPr="00FC77D8" w:rsidRDefault="00FC77D8" w:rsidP="00C379BA">
            <w:pPr>
              <w:jc w:val="both"/>
              <w:rPr>
                <w:rFonts w:ascii="Verdana" w:hAnsi="Verdana" w:cs="Arial"/>
                <w:b/>
                <w:lang w:val="ro-RO"/>
              </w:rPr>
            </w:pPr>
            <w:r w:rsidRPr="00FC77D8">
              <w:rPr>
                <w:rFonts w:ascii="Verdana" w:hAnsi="Verdana" w:cs="Arial"/>
                <w:b/>
                <w:lang w:val="ro-RO"/>
              </w:rPr>
              <w:t>DEC</w:t>
            </w:r>
          </w:p>
        </w:tc>
        <w:tc>
          <w:tcPr>
            <w:tcW w:w="0" w:type="auto"/>
          </w:tcPr>
          <w:p w:rsidR="00FC77D8" w:rsidRPr="00FC77D8" w:rsidRDefault="00FC77D8" w:rsidP="00C379BA">
            <w:pPr>
              <w:jc w:val="both"/>
              <w:rPr>
                <w:rFonts w:ascii="Verdana" w:hAnsi="Verdana" w:cs="Arial"/>
                <w:b/>
                <w:lang w:val="ro-RO"/>
              </w:rPr>
            </w:pPr>
            <w:r w:rsidRPr="00FC77D8">
              <w:rPr>
                <w:rFonts w:ascii="Verdana" w:hAnsi="Verdana" w:cs="Arial"/>
                <w:b/>
                <w:lang w:val="ro-RO"/>
              </w:rPr>
              <w:t>JAN</w:t>
            </w:r>
          </w:p>
        </w:tc>
        <w:tc>
          <w:tcPr>
            <w:tcW w:w="0" w:type="auto"/>
          </w:tcPr>
          <w:p w:rsidR="00FC77D8" w:rsidRPr="00FC77D8" w:rsidRDefault="00FC77D8" w:rsidP="00C379BA">
            <w:pPr>
              <w:jc w:val="both"/>
              <w:rPr>
                <w:rFonts w:ascii="Verdana" w:hAnsi="Verdana" w:cs="Arial"/>
                <w:b/>
                <w:lang w:val="ro-RO"/>
              </w:rPr>
            </w:pPr>
            <w:r w:rsidRPr="00FC77D8">
              <w:rPr>
                <w:rFonts w:ascii="Verdana" w:hAnsi="Verdana" w:cs="Arial"/>
                <w:b/>
                <w:lang w:val="ro-RO"/>
              </w:rPr>
              <w:t>FEB</w:t>
            </w:r>
          </w:p>
        </w:tc>
        <w:tc>
          <w:tcPr>
            <w:tcW w:w="718" w:type="dxa"/>
          </w:tcPr>
          <w:p w:rsidR="00FC77D8" w:rsidRPr="00FC77D8" w:rsidRDefault="00FC77D8" w:rsidP="00C379BA">
            <w:pPr>
              <w:jc w:val="both"/>
              <w:rPr>
                <w:rFonts w:ascii="Verdana" w:hAnsi="Verdana" w:cs="Arial"/>
                <w:b/>
                <w:lang w:val="ro-RO"/>
              </w:rPr>
            </w:pPr>
            <w:r w:rsidRPr="00FC77D8">
              <w:rPr>
                <w:rFonts w:ascii="Verdana" w:hAnsi="Verdana" w:cs="Arial"/>
                <w:b/>
                <w:lang w:val="ro-RO"/>
              </w:rPr>
              <w:t>MAR</w:t>
            </w:r>
          </w:p>
        </w:tc>
        <w:tc>
          <w:tcPr>
            <w:tcW w:w="718" w:type="dxa"/>
          </w:tcPr>
          <w:p w:rsidR="00FC77D8" w:rsidRPr="00FC77D8" w:rsidRDefault="00FC77D8" w:rsidP="00C379BA">
            <w:pPr>
              <w:jc w:val="both"/>
              <w:rPr>
                <w:rFonts w:ascii="Verdana" w:hAnsi="Verdana" w:cs="Arial"/>
                <w:b/>
                <w:lang w:val="ro-RO"/>
              </w:rPr>
            </w:pPr>
            <w:r w:rsidRPr="00FC77D8">
              <w:rPr>
                <w:rFonts w:ascii="Verdana" w:hAnsi="Verdana" w:cs="Arial"/>
                <w:b/>
                <w:lang w:val="ro-RO"/>
              </w:rPr>
              <w:t>APR</w:t>
            </w:r>
          </w:p>
        </w:tc>
      </w:tr>
      <w:tr w:rsidR="00FC77D8" w:rsidRPr="00FC77D8" w:rsidTr="00C379BA">
        <w:tc>
          <w:tcPr>
            <w:tcW w:w="0" w:type="auto"/>
          </w:tcPr>
          <w:p w:rsidR="00FC77D8" w:rsidRPr="00FC77D8" w:rsidRDefault="00FC77D8" w:rsidP="00C379BA">
            <w:pPr>
              <w:jc w:val="both"/>
              <w:rPr>
                <w:rFonts w:ascii="Verdana" w:hAnsi="Verdana" w:cs="Arial"/>
                <w:lang w:val="ro-RO"/>
              </w:rPr>
            </w:pPr>
            <w:r w:rsidRPr="00FC77D8">
              <w:rPr>
                <w:rFonts w:ascii="Verdana" w:hAnsi="Verdana" w:cs="Arial"/>
                <w:lang w:val="ro-RO"/>
              </w:rPr>
              <w:t xml:space="preserve">Schimburi Runda </w:t>
            </w:r>
            <w:r>
              <w:rPr>
                <w:rFonts w:ascii="Verdana" w:hAnsi="Verdana" w:cs="Arial"/>
                <w:lang w:val="ro-RO"/>
              </w:rPr>
              <w:t>3</w:t>
            </w:r>
          </w:p>
        </w:tc>
        <w:tc>
          <w:tcPr>
            <w:tcW w:w="0" w:type="auto"/>
          </w:tcPr>
          <w:p w:rsidR="00FC77D8" w:rsidRPr="00FC77D8" w:rsidRDefault="00FC77D8" w:rsidP="00C379BA">
            <w:pPr>
              <w:jc w:val="both"/>
              <w:rPr>
                <w:rFonts w:ascii="Verdana" w:hAnsi="Verdana" w:cs="Arial"/>
                <w:b/>
                <w:lang w:val="ro-RO"/>
              </w:rPr>
            </w:pPr>
          </w:p>
        </w:tc>
        <w:tc>
          <w:tcPr>
            <w:tcW w:w="0" w:type="auto"/>
            <w:shd w:val="thinReverseDiagStripe" w:color="auto" w:fill="auto"/>
          </w:tcPr>
          <w:p w:rsidR="00FC77D8" w:rsidRPr="00FC77D8" w:rsidRDefault="00FC77D8" w:rsidP="00C379BA">
            <w:pPr>
              <w:jc w:val="both"/>
              <w:rPr>
                <w:rFonts w:ascii="Verdana" w:hAnsi="Verdana" w:cs="Arial"/>
                <w:b/>
                <w:lang w:val="ro-RO"/>
              </w:rPr>
            </w:pPr>
          </w:p>
        </w:tc>
        <w:tc>
          <w:tcPr>
            <w:tcW w:w="0" w:type="auto"/>
            <w:shd w:val="clear" w:color="auto" w:fill="FFF2CC" w:themeFill="accent4" w:themeFillTint="33"/>
          </w:tcPr>
          <w:p w:rsidR="00FC77D8" w:rsidRPr="00FC77D8" w:rsidRDefault="00FC77D8" w:rsidP="00C379BA">
            <w:pPr>
              <w:jc w:val="both"/>
              <w:rPr>
                <w:rFonts w:ascii="Verdana" w:hAnsi="Verdana" w:cs="Arial"/>
                <w:b/>
                <w:lang w:val="ro-RO"/>
              </w:rPr>
            </w:pPr>
          </w:p>
        </w:tc>
        <w:tc>
          <w:tcPr>
            <w:tcW w:w="0" w:type="auto"/>
            <w:shd w:val="clear" w:color="auto" w:fill="FFF2CC" w:themeFill="accent4" w:themeFillTint="33"/>
          </w:tcPr>
          <w:p w:rsidR="00FC77D8" w:rsidRPr="00FC77D8" w:rsidRDefault="00FC77D8" w:rsidP="00C379BA">
            <w:pPr>
              <w:jc w:val="both"/>
              <w:rPr>
                <w:rFonts w:ascii="Verdana" w:hAnsi="Verdana" w:cs="Arial"/>
                <w:b/>
                <w:lang w:val="ro-RO"/>
              </w:rPr>
            </w:pPr>
          </w:p>
        </w:tc>
        <w:tc>
          <w:tcPr>
            <w:tcW w:w="0" w:type="auto"/>
            <w:shd w:val="clear" w:color="auto" w:fill="FFF2CC" w:themeFill="accent4" w:themeFillTint="33"/>
          </w:tcPr>
          <w:p w:rsidR="00FC77D8" w:rsidRPr="00FC77D8" w:rsidRDefault="00FC77D8" w:rsidP="00C379BA">
            <w:pPr>
              <w:jc w:val="both"/>
              <w:rPr>
                <w:rFonts w:ascii="Verdana" w:hAnsi="Verdana" w:cs="Arial"/>
                <w:b/>
                <w:lang w:val="ro-RO"/>
              </w:rPr>
            </w:pPr>
          </w:p>
        </w:tc>
        <w:tc>
          <w:tcPr>
            <w:tcW w:w="0" w:type="auto"/>
            <w:shd w:val="clear" w:color="auto" w:fill="FFF2CC" w:themeFill="accent4" w:themeFillTint="33"/>
          </w:tcPr>
          <w:p w:rsidR="00FC77D8" w:rsidRPr="00FC77D8" w:rsidRDefault="00FC77D8" w:rsidP="00C379BA">
            <w:pPr>
              <w:jc w:val="both"/>
              <w:rPr>
                <w:rFonts w:ascii="Verdana" w:hAnsi="Verdana" w:cs="Arial"/>
                <w:b/>
                <w:lang w:val="ro-RO"/>
              </w:rPr>
            </w:pPr>
          </w:p>
        </w:tc>
        <w:tc>
          <w:tcPr>
            <w:tcW w:w="0" w:type="auto"/>
            <w:shd w:val="clear" w:color="auto" w:fill="FFFFFF" w:themeFill="background1"/>
          </w:tcPr>
          <w:p w:rsidR="00FC77D8" w:rsidRPr="00FC77D8" w:rsidRDefault="00FC77D8" w:rsidP="00C379BA">
            <w:pPr>
              <w:jc w:val="both"/>
              <w:rPr>
                <w:rFonts w:ascii="Verdana" w:hAnsi="Verdana" w:cs="Arial"/>
                <w:b/>
                <w:lang w:val="ro-RO"/>
              </w:rPr>
            </w:pPr>
          </w:p>
        </w:tc>
        <w:tc>
          <w:tcPr>
            <w:tcW w:w="0" w:type="auto"/>
            <w:shd w:val="clear" w:color="auto" w:fill="FFFFFF" w:themeFill="background1"/>
          </w:tcPr>
          <w:p w:rsidR="00FC77D8" w:rsidRPr="00FC77D8" w:rsidRDefault="00FC77D8" w:rsidP="00C379BA">
            <w:pPr>
              <w:jc w:val="both"/>
              <w:rPr>
                <w:rFonts w:ascii="Verdana" w:hAnsi="Verdana" w:cs="Arial"/>
                <w:b/>
                <w:lang w:val="ro-RO"/>
              </w:rPr>
            </w:pPr>
          </w:p>
        </w:tc>
        <w:tc>
          <w:tcPr>
            <w:tcW w:w="718" w:type="dxa"/>
            <w:shd w:val="clear" w:color="auto" w:fill="FFFFFF" w:themeFill="background1"/>
          </w:tcPr>
          <w:p w:rsidR="00FC77D8" w:rsidRPr="00FC77D8" w:rsidRDefault="00FC77D8" w:rsidP="00C379BA">
            <w:pPr>
              <w:jc w:val="both"/>
              <w:rPr>
                <w:rFonts w:ascii="Verdana" w:hAnsi="Verdana" w:cs="Arial"/>
                <w:b/>
                <w:lang w:val="ro-RO"/>
              </w:rPr>
            </w:pPr>
          </w:p>
        </w:tc>
        <w:tc>
          <w:tcPr>
            <w:tcW w:w="718" w:type="dxa"/>
            <w:shd w:val="clear" w:color="auto" w:fill="FFFFFF" w:themeFill="background1"/>
          </w:tcPr>
          <w:p w:rsidR="00FC77D8" w:rsidRPr="00FC77D8" w:rsidRDefault="00FC77D8" w:rsidP="00C379BA">
            <w:pPr>
              <w:jc w:val="both"/>
              <w:rPr>
                <w:rFonts w:ascii="Verdana" w:hAnsi="Verdana" w:cs="Arial"/>
                <w:b/>
                <w:lang w:val="ro-RO"/>
              </w:rPr>
            </w:pPr>
          </w:p>
        </w:tc>
      </w:tr>
      <w:tr w:rsidR="00FC77D8" w:rsidRPr="00FC77D8" w:rsidTr="00C379BA">
        <w:tc>
          <w:tcPr>
            <w:tcW w:w="0" w:type="auto"/>
          </w:tcPr>
          <w:p w:rsidR="00FC77D8" w:rsidRPr="00FC77D8" w:rsidRDefault="00FC77D8" w:rsidP="00FC77D8">
            <w:pPr>
              <w:jc w:val="both"/>
              <w:rPr>
                <w:rFonts w:ascii="Verdana" w:hAnsi="Verdana" w:cs="Arial"/>
                <w:lang w:val="ro-RO"/>
              </w:rPr>
            </w:pPr>
            <w:r w:rsidRPr="00FC77D8">
              <w:rPr>
                <w:rFonts w:ascii="Verdana" w:hAnsi="Verdana" w:cs="Arial"/>
                <w:lang w:val="ro-RO"/>
              </w:rPr>
              <w:t>Procedura selectie</w:t>
            </w:r>
          </w:p>
          <w:p w:rsidR="00FC77D8" w:rsidRPr="00FC77D8" w:rsidRDefault="00FC77D8" w:rsidP="00FC77D8">
            <w:pPr>
              <w:jc w:val="both"/>
              <w:rPr>
                <w:rFonts w:ascii="Verdana" w:hAnsi="Verdana" w:cs="Arial"/>
                <w:lang w:val="ro-RO"/>
              </w:rPr>
            </w:pPr>
            <w:r w:rsidRPr="00FC77D8">
              <w:rPr>
                <w:rFonts w:ascii="Verdana" w:hAnsi="Verdana" w:cs="Arial"/>
                <w:lang w:val="ro-RO"/>
              </w:rPr>
              <w:t xml:space="preserve">Runda </w:t>
            </w:r>
            <w:r>
              <w:rPr>
                <w:rFonts w:ascii="Verdana" w:hAnsi="Verdana" w:cs="Arial"/>
                <w:lang w:val="ro-RO"/>
              </w:rPr>
              <w:t>4</w:t>
            </w:r>
          </w:p>
        </w:tc>
        <w:tc>
          <w:tcPr>
            <w:tcW w:w="0" w:type="auto"/>
          </w:tcPr>
          <w:p w:rsidR="00FC77D8" w:rsidRPr="00FC77D8" w:rsidRDefault="00FC77D8" w:rsidP="00C379BA">
            <w:pPr>
              <w:jc w:val="both"/>
              <w:rPr>
                <w:rFonts w:ascii="Verdana" w:hAnsi="Verdana" w:cs="Arial"/>
                <w:b/>
                <w:lang w:val="ro-RO"/>
              </w:rPr>
            </w:pPr>
          </w:p>
        </w:tc>
        <w:tc>
          <w:tcPr>
            <w:tcW w:w="0" w:type="auto"/>
            <w:shd w:val="thinReverseDiagStripe" w:color="auto" w:fill="auto"/>
          </w:tcPr>
          <w:p w:rsidR="00FC77D8" w:rsidRPr="00FC77D8" w:rsidRDefault="00FC77D8" w:rsidP="00C379BA">
            <w:pPr>
              <w:jc w:val="both"/>
              <w:rPr>
                <w:rFonts w:ascii="Verdana" w:hAnsi="Verdana" w:cs="Arial"/>
                <w:b/>
                <w:lang w:val="ro-RO"/>
              </w:rPr>
            </w:pPr>
          </w:p>
        </w:tc>
        <w:tc>
          <w:tcPr>
            <w:tcW w:w="0" w:type="auto"/>
          </w:tcPr>
          <w:p w:rsidR="00FC77D8" w:rsidRPr="00FC77D8" w:rsidRDefault="00FC77D8" w:rsidP="00C379BA">
            <w:pPr>
              <w:jc w:val="both"/>
              <w:rPr>
                <w:rFonts w:ascii="Verdana" w:hAnsi="Verdana" w:cs="Arial"/>
                <w:b/>
                <w:lang w:val="ro-RO"/>
              </w:rPr>
            </w:pPr>
          </w:p>
        </w:tc>
        <w:tc>
          <w:tcPr>
            <w:tcW w:w="0" w:type="auto"/>
            <w:shd w:val="clear" w:color="auto" w:fill="FFD966" w:themeFill="accent4" w:themeFillTint="99"/>
          </w:tcPr>
          <w:p w:rsidR="00FC77D8" w:rsidRPr="00FC77D8" w:rsidRDefault="00FC77D8" w:rsidP="00C379BA">
            <w:pPr>
              <w:jc w:val="both"/>
              <w:rPr>
                <w:rFonts w:ascii="Verdana" w:hAnsi="Verdana" w:cs="Arial"/>
                <w:b/>
                <w:lang w:val="ro-RO"/>
              </w:rPr>
            </w:pPr>
          </w:p>
        </w:tc>
        <w:tc>
          <w:tcPr>
            <w:tcW w:w="0" w:type="auto"/>
            <w:shd w:val="clear" w:color="auto" w:fill="FFD966" w:themeFill="accent4" w:themeFillTint="99"/>
          </w:tcPr>
          <w:p w:rsidR="00FC77D8" w:rsidRPr="00FC77D8" w:rsidRDefault="00FC77D8" w:rsidP="00C379BA">
            <w:pPr>
              <w:jc w:val="both"/>
              <w:rPr>
                <w:rFonts w:ascii="Verdana" w:hAnsi="Verdana" w:cs="Arial"/>
                <w:b/>
                <w:lang w:val="ro-RO"/>
              </w:rPr>
            </w:pPr>
          </w:p>
        </w:tc>
        <w:tc>
          <w:tcPr>
            <w:tcW w:w="0" w:type="auto"/>
            <w:shd w:val="clear" w:color="auto" w:fill="FFFFFF" w:themeFill="background1"/>
          </w:tcPr>
          <w:p w:rsidR="00FC77D8" w:rsidRPr="00FC77D8" w:rsidRDefault="00FC77D8" w:rsidP="00C379BA">
            <w:pPr>
              <w:jc w:val="both"/>
              <w:rPr>
                <w:rFonts w:ascii="Verdana" w:hAnsi="Verdana" w:cs="Arial"/>
                <w:b/>
                <w:lang w:val="ro-RO"/>
              </w:rPr>
            </w:pPr>
          </w:p>
        </w:tc>
        <w:tc>
          <w:tcPr>
            <w:tcW w:w="0" w:type="auto"/>
            <w:shd w:val="clear" w:color="auto" w:fill="FFFFFF" w:themeFill="background1"/>
          </w:tcPr>
          <w:p w:rsidR="00FC77D8" w:rsidRPr="00FC77D8" w:rsidRDefault="00FC77D8" w:rsidP="00C379BA">
            <w:pPr>
              <w:jc w:val="both"/>
              <w:rPr>
                <w:rFonts w:ascii="Verdana" w:hAnsi="Verdana" w:cs="Arial"/>
                <w:b/>
                <w:lang w:val="ro-RO"/>
              </w:rPr>
            </w:pPr>
          </w:p>
        </w:tc>
        <w:tc>
          <w:tcPr>
            <w:tcW w:w="0" w:type="auto"/>
            <w:shd w:val="clear" w:color="auto" w:fill="FFFFFF" w:themeFill="background1"/>
          </w:tcPr>
          <w:p w:rsidR="00FC77D8" w:rsidRPr="00FC77D8" w:rsidRDefault="00FC77D8" w:rsidP="00C379BA">
            <w:pPr>
              <w:jc w:val="both"/>
              <w:rPr>
                <w:rFonts w:ascii="Verdana" w:hAnsi="Verdana" w:cs="Arial"/>
                <w:b/>
                <w:lang w:val="ro-RO"/>
              </w:rPr>
            </w:pPr>
          </w:p>
        </w:tc>
        <w:tc>
          <w:tcPr>
            <w:tcW w:w="718" w:type="dxa"/>
            <w:shd w:val="clear" w:color="auto" w:fill="FFFFFF" w:themeFill="background1"/>
          </w:tcPr>
          <w:p w:rsidR="00FC77D8" w:rsidRPr="00FC77D8" w:rsidRDefault="00FC77D8" w:rsidP="00C379BA">
            <w:pPr>
              <w:jc w:val="both"/>
              <w:rPr>
                <w:rFonts w:ascii="Verdana" w:hAnsi="Verdana" w:cs="Arial"/>
                <w:b/>
                <w:lang w:val="ro-RO"/>
              </w:rPr>
            </w:pPr>
          </w:p>
        </w:tc>
        <w:tc>
          <w:tcPr>
            <w:tcW w:w="718" w:type="dxa"/>
            <w:shd w:val="clear" w:color="auto" w:fill="FFFFFF" w:themeFill="background1"/>
          </w:tcPr>
          <w:p w:rsidR="00FC77D8" w:rsidRPr="00FC77D8" w:rsidRDefault="00FC77D8" w:rsidP="00C379BA">
            <w:pPr>
              <w:jc w:val="both"/>
              <w:rPr>
                <w:rFonts w:ascii="Verdana" w:hAnsi="Verdana" w:cs="Arial"/>
                <w:b/>
                <w:lang w:val="ro-RO"/>
              </w:rPr>
            </w:pPr>
          </w:p>
        </w:tc>
      </w:tr>
      <w:tr w:rsidR="00FC77D8" w:rsidRPr="00FC77D8" w:rsidTr="00C379BA">
        <w:tc>
          <w:tcPr>
            <w:tcW w:w="0" w:type="auto"/>
          </w:tcPr>
          <w:p w:rsidR="00FC77D8" w:rsidRPr="00FC77D8" w:rsidRDefault="00FC77D8" w:rsidP="00C379BA">
            <w:pPr>
              <w:jc w:val="both"/>
              <w:rPr>
                <w:rFonts w:ascii="Verdana" w:hAnsi="Verdana" w:cs="Arial"/>
                <w:lang w:val="ro-RO"/>
              </w:rPr>
            </w:pPr>
            <w:r w:rsidRPr="00FC77D8">
              <w:rPr>
                <w:rFonts w:ascii="Verdana" w:hAnsi="Verdana" w:cs="Arial"/>
                <w:lang w:val="ro-RO"/>
              </w:rPr>
              <w:t xml:space="preserve">Schimburi Runda </w:t>
            </w:r>
            <w:r>
              <w:rPr>
                <w:rFonts w:ascii="Verdana" w:hAnsi="Verdana" w:cs="Arial"/>
                <w:lang w:val="ro-RO"/>
              </w:rPr>
              <w:t>4</w:t>
            </w:r>
          </w:p>
        </w:tc>
        <w:tc>
          <w:tcPr>
            <w:tcW w:w="0" w:type="auto"/>
          </w:tcPr>
          <w:p w:rsidR="00FC77D8" w:rsidRPr="00FC77D8" w:rsidRDefault="00FC77D8" w:rsidP="00C379BA">
            <w:pPr>
              <w:jc w:val="both"/>
              <w:rPr>
                <w:rFonts w:ascii="Verdana" w:hAnsi="Verdana" w:cs="Arial"/>
                <w:b/>
                <w:lang w:val="ro-RO"/>
              </w:rPr>
            </w:pPr>
          </w:p>
        </w:tc>
        <w:tc>
          <w:tcPr>
            <w:tcW w:w="0" w:type="auto"/>
            <w:shd w:val="thinReverseDiagStripe" w:color="auto" w:fill="auto"/>
          </w:tcPr>
          <w:p w:rsidR="00FC77D8" w:rsidRPr="00FC77D8" w:rsidRDefault="00FC77D8" w:rsidP="00C379BA">
            <w:pPr>
              <w:jc w:val="both"/>
              <w:rPr>
                <w:rFonts w:ascii="Verdana" w:hAnsi="Verdana" w:cs="Arial"/>
                <w:b/>
                <w:lang w:val="ro-RO"/>
              </w:rPr>
            </w:pPr>
          </w:p>
        </w:tc>
        <w:tc>
          <w:tcPr>
            <w:tcW w:w="0" w:type="auto"/>
          </w:tcPr>
          <w:p w:rsidR="00FC77D8" w:rsidRPr="00FC77D8" w:rsidRDefault="00FC77D8" w:rsidP="00C379BA">
            <w:pPr>
              <w:jc w:val="both"/>
              <w:rPr>
                <w:rFonts w:ascii="Verdana" w:hAnsi="Verdana" w:cs="Arial"/>
                <w:b/>
                <w:lang w:val="ro-RO"/>
              </w:rPr>
            </w:pPr>
          </w:p>
        </w:tc>
        <w:tc>
          <w:tcPr>
            <w:tcW w:w="0" w:type="auto"/>
          </w:tcPr>
          <w:p w:rsidR="00FC77D8" w:rsidRPr="00FC77D8" w:rsidRDefault="00FC77D8" w:rsidP="00C379BA">
            <w:pPr>
              <w:jc w:val="both"/>
              <w:rPr>
                <w:rFonts w:ascii="Verdana" w:hAnsi="Verdana" w:cs="Arial"/>
                <w:b/>
                <w:lang w:val="ro-RO"/>
              </w:rPr>
            </w:pPr>
          </w:p>
        </w:tc>
        <w:tc>
          <w:tcPr>
            <w:tcW w:w="0" w:type="auto"/>
          </w:tcPr>
          <w:p w:rsidR="00FC77D8" w:rsidRPr="00FC77D8" w:rsidRDefault="00FC77D8" w:rsidP="00C379BA">
            <w:pPr>
              <w:jc w:val="both"/>
              <w:rPr>
                <w:rFonts w:ascii="Verdana" w:hAnsi="Verdana" w:cs="Arial"/>
                <w:b/>
                <w:lang w:val="ro-RO"/>
              </w:rPr>
            </w:pPr>
          </w:p>
        </w:tc>
        <w:tc>
          <w:tcPr>
            <w:tcW w:w="0" w:type="auto"/>
          </w:tcPr>
          <w:p w:rsidR="00FC77D8" w:rsidRPr="00FC77D8" w:rsidRDefault="00FC77D8" w:rsidP="00C379BA">
            <w:pPr>
              <w:jc w:val="both"/>
              <w:rPr>
                <w:rFonts w:ascii="Verdana" w:hAnsi="Verdana" w:cs="Arial"/>
                <w:b/>
                <w:lang w:val="ro-RO"/>
              </w:rPr>
            </w:pPr>
          </w:p>
        </w:tc>
        <w:tc>
          <w:tcPr>
            <w:tcW w:w="0" w:type="auto"/>
            <w:shd w:val="clear" w:color="auto" w:fill="FFF2CC" w:themeFill="accent4" w:themeFillTint="33"/>
          </w:tcPr>
          <w:p w:rsidR="00FC77D8" w:rsidRPr="00FC77D8" w:rsidRDefault="00FC77D8" w:rsidP="00C379BA">
            <w:pPr>
              <w:jc w:val="both"/>
              <w:rPr>
                <w:rFonts w:ascii="Verdana" w:hAnsi="Verdana" w:cs="Arial"/>
                <w:b/>
                <w:lang w:val="ro-RO"/>
              </w:rPr>
            </w:pPr>
          </w:p>
        </w:tc>
        <w:tc>
          <w:tcPr>
            <w:tcW w:w="0" w:type="auto"/>
            <w:shd w:val="clear" w:color="auto" w:fill="FFF2CC" w:themeFill="accent4" w:themeFillTint="33"/>
          </w:tcPr>
          <w:p w:rsidR="00FC77D8" w:rsidRPr="00FC77D8" w:rsidRDefault="00FC77D8" w:rsidP="00C379BA">
            <w:pPr>
              <w:jc w:val="both"/>
              <w:rPr>
                <w:rFonts w:ascii="Verdana" w:hAnsi="Verdana" w:cs="Arial"/>
                <w:b/>
                <w:lang w:val="ro-RO"/>
              </w:rPr>
            </w:pPr>
          </w:p>
        </w:tc>
        <w:tc>
          <w:tcPr>
            <w:tcW w:w="718" w:type="dxa"/>
            <w:shd w:val="clear" w:color="auto" w:fill="FFF2CC" w:themeFill="accent4" w:themeFillTint="33"/>
          </w:tcPr>
          <w:p w:rsidR="00FC77D8" w:rsidRPr="00FC77D8" w:rsidRDefault="00FC77D8" w:rsidP="00C379BA">
            <w:pPr>
              <w:jc w:val="both"/>
              <w:rPr>
                <w:rFonts w:ascii="Verdana" w:hAnsi="Verdana" w:cs="Arial"/>
                <w:b/>
                <w:lang w:val="ro-RO"/>
              </w:rPr>
            </w:pPr>
          </w:p>
        </w:tc>
        <w:tc>
          <w:tcPr>
            <w:tcW w:w="718" w:type="dxa"/>
            <w:shd w:val="clear" w:color="auto" w:fill="FFF2CC" w:themeFill="accent4" w:themeFillTint="33"/>
          </w:tcPr>
          <w:p w:rsidR="00FC77D8" w:rsidRPr="00FC77D8" w:rsidRDefault="00FC77D8" w:rsidP="00C379BA">
            <w:pPr>
              <w:jc w:val="both"/>
              <w:rPr>
                <w:rFonts w:ascii="Verdana" w:hAnsi="Verdana" w:cs="Arial"/>
                <w:b/>
                <w:lang w:val="ro-RO"/>
              </w:rPr>
            </w:pPr>
          </w:p>
        </w:tc>
      </w:tr>
    </w:tbl>
    <w:p w:rsidR="00FC77D8" w:rsidRPr="00FC77D8" w:rsidRDefault="00FC77D8" w:rsidP="00FC77D8">
      <w:pPr>
        <w:jc w:val="both"/>
        <w:rPr>
          <w:rFonts w:ascii="Verdana" w:hAnsi="Verdana" w:cs="Arial"/>
          <w:b/>
          <w:szCs w:val="20"/>
        </w:rPr>
      </w:pPr>
    </w:p>
    <w:p w:rsidR="00FC77D8" w:rsidRPr="00FC77D8" w:rsidRDefault="00FC77D8" w:rsidP="00DE12DA">
      <w:pPr>
        <w:spacing w:after="0" w:line="240" w:lineRule="auto"/>
        <w:jc w:val="both"/>
        <w:rPr>
          <w:rFonts w:eastAsia="Times New Roman" w:cstheme="minorHAnsi"/>
          <w:b/>
          <w:bCs/>
          <w:color w:val="050708"/>
          <w:sz w:val="24"/>
          <w:szCs w:val="24"/>
          <w:lang w:eastAsia="ro-RO"/>
        </w:rPr>
      </w:pPr>
    </w:p>
    <w:p w:rsidR="00310144" w:rsidRPr="00FC77D8" w:rsidRDefault="00310144" w:rsidP="00DE12DA">
      <w:pPr>
        <w:spacing w:after="0" w:line="240" w:lineRule="auto"/>
        <w:jc w:val="both"/>
        <w:rPr>
          <w:rFonts w:eastAsia="Times New Roman" w:cstheme="minorHAnsi"/>
          <w:color w:val="050708"/>
          <w:sz w:val="24"/>
          <w:szCs w:val="24"/>
          <w:lang w:eastAsia="ro-RO"/>
        </w:rPr>
      </w:pPr>
      <w:r w:rsidRPr="00FC77D8">
        <w:rPr>
          <w:rFonts w:eastAsia="Times New Roman" w:cstheme="minorHAnsi"/>
          <w:b/>
          <w:bCs/>
          <w:color w:val="050708"/>
          <w:sz w:val="24"/>
          <w:szCs w:val="24"/>
          <w:lang w:eastAsia="ro-RO"/>
        </w:rPr>
        <w:t>Schimburile nu au niciun cost pentru instituțiile beneficiare</w:t>
      </w:r>
      <w:r w:rsidRPr="00FC77D8">
        <w:rPr>
          <w:rFonts w:eastAsia="Times New Roman" w:cstheme="minorHAnsi"/>
          <w:color w:val="050708"/>
          <w:sz w:val="24"/>
          <w:szCs w:val="24"/>
          <w:lang w:eastAsia="ro-RO"/>
        </w:rPr>
        <w:t>, iar cheltuieli de deplasare, de ședere și de cazare ale avocaților participanți sunt acoperite de Comisia Europeană si parțial de avocații selectați să participe în proiect.</w:t>
      </w:r>
    </w:p>
    <w:p w:rsidR="00F30901" w:rsidRPr="00FC77D8" w:rsidRDefault="00F30901" w:rsidP="00DE12DA">
      <w:pPr>
        <w:spacing w:after="0" w:line="240" w:lineRule="auto"/>
        <w:jc w:val="both"/>
        <w:rPr>
          <w:rFonts w:eastAsia="Times New Roman" w:cstheme="minorHAnsi"/>
          <w:b/>
          <w:bCs/>
          <w:color w:val="050708"/>
          <w:sz w:val="24"/>
          <w:szCs w:val="24"/>
          <w:lang w:eastAsia="ro-RO"/>
        </w:rPr>
      </w:pPr>
    </w:p>
    <w:p w:rsidR="0038142F" w:rsidRDefault="0038142F" w:rsidP="00DE12DA">
      <w:pPr>
        <w:spacing w:after="0" w:line="240" w:lineRule="auto"/>
        <w:jc w:val="both"/>
        <w:rPr>
          <w:rFonts w:eastAsia="Times New Roman" w:cstheme="minorHAnsi"/>
          <w:color w:val="050708"/>
          <w:sz w:val="24"/>
          <w:szCs w:val="24"/>
          <w:lang w:eastAsia="ro-RO"/>
        </w:rPr>
      </w:pPr>
      <w:r w:rsidRPr="00FC77D8">
        <w:rPr>
          <w:rFonts w:eastAsia="Times New Roman" w:cstheme="minorHAnsi"/>
          <w:color w:val="050708"/>
          <w:sz w:val="24"/>
          <w:szCs w:val="24"/>
          <w:lang w:eastAsia="ro-RO"/>
        </w:rPr>
        <w:t xml:space="preserve">Pentru mai multe detalii persoana de contact din cadrul UNBR este dna Veronica Morecut, </w:t>
      </w:r>
      <w:hyperlink r:id="rId5" w:history="1">
        <w:r w:rsidRPr="00FC77D8">
          <w:rPr>
            <w:rStyle w:val="Hyperlink"/>
            <w:rFonts w:eastAsia="Times New Roman" w:cstheme="minorHAnsi"/>
            <w:sz w:val="24"/>
            <w:szCs w:val="24"/>
            <w:lang w:eastAsia="ro-RO"/>
          </w:rPr>
          <w:t>veronica.morecut@unbr.ro</w:t>
        </w:r>
      </w:hyperlink>
      <w:r w:rsidRPr="00FC77D8">
        <w:rPr>
          <w:rFonts w:eastAsia="Times New Roman" w:cstheme="minorHAnsi"/>
          <w:color w:val="050708"/>
          <w:sz w:val="24"/>
          <w:szCs w:val="24"/>
          <w:lang w:eastAsia="ro-RO"/>
        </w:rPr>
        <w:t xml:space="preserve">, tel: 021/3134875, 021/3160739, fax: 021/3134880.  </w:t>
      </w:r>
    </w:p>
    <w:p w:rsidR="00A3190B" w:rsidRDefault="00A3190B" w:rsidP="00DE12DA">
      <w:pPr>
        <w:spacing w:after="0" w:line="240" w:lineRule="auto"/>
        <w:jc w:val="both"/>
        <w:rPr>
          <w:rFonts w:eastAsia="Times New Roman" w:cstheme="minorHAnsi"/>
          <w:color w:val="050708"/>
          <w:sz w:val="24"/>
          <w:szCs w:val="24"/>
          <w:lang w:eastAsia="ro-RO"/>
        </w:rPr>
      </w:pPr>
    </w:p>
    <w:p w:rsidR="00A3190B" w:rsidRDefault="00A3190B" w:rsidP="00A3190B">
      <w:pPr>
        <w:spacing w:after="0" w:line="240" w:lineRule="auto"/>
        <w:jc w:val="both"/>
        <w:rPr>
          <w:rFonts w:eastAsia="Times New Roman" w:cstheme="minorHAnsi"/>
          <w:color w:val="050708"/>
          <w:sz w:val="24"/>
          <w:szCs w:val="24"/>
          <w:lang w:eastAsia="ro-RO"/>
        </w:rPr>
      </w:pPr>
      <w:r w:rsidRPr="00A3190B">
        <w:rPr>
          <w:rFonts w:eastAsia="Times New Roman" w:cstheme="minorHAnsi"/>
          <w:color w:val="050708"/>
          <w:sz w:val="24"/>
          <w:szCs w:val="24"/>
          <w:lang w:eastAsia="ro-RO"/>
        </w:rPr>
        <w:t xml:space="preserve">U.N.B.R. inițiază procesul de selectare a </w:t>
      </w:r>
      <w:r>
        <w:rPr>
          <w:rFonts w:eastAsia="Times New Roman" w:cstheme="minorHAnsi"/>
          <w:color w:val="050708"/>
          <w:sz w:val="24"/>
          <w:szCs w:val="24"/>
          <w:lang w:eastAsia="ro-RO"/>
        </w:rPr>
        <w:t>2</w:t>
      </w:r>
      <w:r w:rsidRPr="00A3190B">
        <w:rPr>
          <w:rFonts w:eastAsia="Times New Roman" w:cstheme="minorHAnsi"/>
          <w:color w:val="050708"/>
          <w:sz w:val="24"/>
          <w:szCs w:val="24"/>
          <w:lang w:eastAsia="ro-RO"/>
        </w:rPr>
        <w:t xml:space="preserve"> (</w:t>
      </w:r>
      <w:r>
        <w:rPr>
          <w:rFonts w:eastAsia="Times New Roman" w:cstheme="minorHAnsi"/>
          <w:color w:val="050708"/>
          <w:sz w:val="24"/>
          <w:szCs w:val="24"/>
          <w:lang w:eastAsia="ro-RO"/>
        </w:rPr>
        <w:t>doi</w:t>
      </w:r>
      <w:r w:rsidRPr="00A3190B">
        <w:rPr>
          <w:rFonts w:eastAsia="Times New Roman" w:cstheme="minorHAnsi"/>
          <w:color w:val="050708"/>
          <w:sz w:val="24"/>
          <w:szCs w:val="24"/>
          <w:lang w:eastAsia="ro-RO"/>
        </w:rPr>
        <w:t xml:space="preserve">) avocați care doresc să participe în proiect, într-un alt stat UE pentru runda </w:t>
      </w:r>
      <w:r>
        <w:rPr>
          <w:rFonts w:eastAsia="Times New Roman" w:cstheme="minorHAnsi"/>
          <w:color w:val="050708"/>
          <w:sz w:val="24"/>
          <w:szCs w:val="24"/>
          <w:lang w:eastAsia="ro-RO"/>
        </w:rPr>
        <w:t>2</w:t>
      </w:r>
      <w:r w:rsidRPr="00A3190B">
        <w:rPr>
          <w:rFonts w:eastAsia="Times New Roman" w:cstheme="minorHAnsi"/>
          <w:color w:val="050708"/>
          <w:sz w:val="24"/>
          <w:szCs w:val="24"/>
          <w:lang w:eastAsia="ro-RO"/>
        </w:rPr>
        <w:t xml:space="preserve">. </w:t>
      </w:r>
    </w:p>
    <w:p w:rsidR="00A3190B" w:rsidRDefault="00A3190B" w:rsidP="00A3190B">
      <w:pPr>
        <w:spacing w:after="0" w:line="240" w:lineRule="auto"/>
        <w:jc w:val="both"/>
        <w:rPr>
          <w:rFonts w:eastAsia="Times New Roman" w:cstheme="minorHAnsi"/>
          <w:color w:val="050708"/>
          <w:sz w:val="24"/>
          <w:szCs w:val="24"/>
          <w:lang w:eastAsia="ro-RO"/>
        </w:rPr>
      </w:pPr>
    </w:p>
    <w:p w:rsidR="00A3190B" w:rsidRPr="00A3190B" w:rsidRDefault="00A3190B" w:rsidP="00A3190B">
      <w:pPr>
        <w:spacing w:after="0" w:line="240" w:lineRule="auto"/>
        <w:jc w:val="both"/>
        <w:rPr>
          <w:rFonts w:eastAsia="Times New Roman" w:cstheme="minorHAnsi"/>
          <w:color w:val="050708"/>
          <w:sz w:val="24"/>
          <w:szCs w:val="24"/>
          <w:lang w:eastAsia="ro-RO"/>
        </w:rPr>
      </w:pPr>
      <w:r w:rsidRPr="00A3190B">
        <w:rPr>
          <w:rFonts w:eastAsia="Times New Roman" w:cstheme="minorHAnsi"/>
          <w:color w:val="050708"/>
          <w:sz w:val="24"/>
          <w:szCs w:val="24"/>
          <w:lang w:eastAsia="ro-RO"/>
        </w:rPr>
        <w:t>Apelul este adresat avocaților practicieni cu experiență profesională de maximum 7 ani și cu o înaltă și demonstrabilă cunoaștere a limbii engleze.</w:t>
      </w:r>
    </w:p>
    <w:p w:rsidR="00A3190B" w:rsidRDefault="00A3190B" w:rsidP="00A3190B">
      <w:pPr>
        <w:spacing w:after="0" w:line="240" w:lineRule="auto"/>
        <w:jc w:val="both"/>
        <w:rPr>
          <w:rFonts w:eastAsia="Times New Roman" w:cstheme="minorHAnsi"/>
          <w:color w:val="050708"/>
          <w:sz w:val="24"/>
          <w:szCs w:val="24"/>
          <w:lang w:eastAsia="ro-RO"/>
        </w:rPr>
      </w:pPr>
    </w:p>
    <w:p w:rsidR="00A3190B" w:rsidRDefault="00A3190B" w:rsidP="00A3190B">
      <w:pPr>
        <w:spacing w:after="0" w:line="240" w:lineRule="auto"/>
        <w:jc w:val="both"/>
        <w:rPr>
          <w:rFonts w:eastAsia="Times New Roman" w:cstheme="minorHAnsi"/>
          <w:color w:val="050708"/>
          <w:sz w:val="24"/>
          <w:szCs w:val="24"/>
          <w:lang w:eastAsia="ro-RO"/>
        </w:rPr>
      </w:pPr>
      <w:r w:rsidRPr="00A3190B">
        <w:rPr>
          <w:rFonts w:eastAsia="Times New Roman" w:cstheme="minorHAnsi"/>
          <w:color w:val="050708"/>
          <w:sz w:val="24"/>
          <w:szCs w:val="24"/>
          <w:lang w:eastAsia="ro-RO"/>
        </w:rPr>
        <w:t>Cererea trebuie să conțină curriculum vitae (în limba engleză), formularul de înscriere completat, o scurtă scrisoare de motivație care să explice rațiunile care ar trebui avute în vedere la selectarea pentru a participa în proiect (în limba engleză), numărul dosarului profesional, adresa de e-mail, telefon de contact.</w:t>
      </w:r>
    </w:p>
    <w:p w:rsidR="00A3190B" w:rsidRPr="00A3190B" w:rsidRDefault="00A3190B" w:rsidP="00A3190B">
      <w:pPr>
        <w:spacing w:after="0" w:line="240" w:lineRule="auto"/>
        <w:jc w:val="both"/>
        <w:rPr>
          <w:rFonts w:eastAsia="Times New Roman" w:cstheme="minorHAnsi"/>
          <w:color w:val="050708"/>
          <w:sz w:val="24"/>
          <w:szCs w:val="24"/>
          <w:lang w:eastAsia="ro-RO"/>
        </w:rPr>
      </w:pPr>
    </w:p>
    <w:p w:rsidR="00A3190B" w:rsidRDefault="00A3190B" w:rsidP="00A3190B">
      <w:pPr>
        <w:spacing w:after="0" w:line="240" w:lineRule="auto"/>
        <w:jc w:val="both"/>
        <w:rPr>
          <w:rFonts w:eastAsia="Times New Roman" w:cstheme="minorHAnsi"/>
          <w:color w:val="050708"/>
          <w:sz w:val="24"/>
          <w:szCs w:val="24"/>
          <w:lang w:eastAsia="ro-RO"/>
        </w:rPr>
      </w:pPr>
      <w:r w:rsidRPr="00A3190B">
        <w:rPr>
          <w:rFonts w:eastAsia="Times New Roman" w:cstheme="minorHAnsi"/>
          <w:color w:val="050708"/>
          <w:sz w:val="24"/>
          <w:szCs w:val="24"/>
          <w:lang w:eastAsia="ro-RO"/>
        </w:rPr>
        <w:t>Candidaturile pot fi trimise prin e-mail la următoarea adresă: proiecte@unbr.ro, cu menționarea în titlul mesajului a numelui candidatului, a titlului proiectului (LawyerEx) precum și a perioadei de schimb pentru care s-a făcut opțiunea.</w:t>
      </w:r>
    </w:p>
    <w:p w:rsidR="00A3190B" w:rsidRPr="00A3190B" w:rsidRDefault="00A3190B" w:rsidP="00A3190B">
      <w:pPr>
        <w:spacing w:after="0" w:line="240" w:lineRule="auto"/>
        <w:jc w:val="both"/>
        <w:rPr>
          <w:rFonts w:eastAsia="Times New Roman" w:cstheme="minorHAnsi"/>
          <w:color w:val="050708"/>
          <w:sz w:val="24"/>
          <w:szCs w:val="24"/>
          <w:lang w:eastAsia="ro-RO"/>
        </w:rPr>
      </w:pPr>
    </w:p>
    <w:p w:rsidR="00A3190B" w:rsidRPr="00FC77D8" w:rsidRDefault="00A3190B" w:rsidP="00A3190B">
      <w:pPr>
        <w:spacing w:after="0" w:line="240" w:lineRule="auto"/>
        <w:jc w:val="both"/>
        <w:rPr>
          <w:rFonts w:eastAsia="Times New Roman" w:cstheme="minorHAnsi"/>
          <w:color w:val="050708"/>
          <w:sz w:val="24"/>
          <w:szCs w:val="24"/>
          <w:lang w:eastAsia="ro-RO"/>
        </w:rPr>
      </w:pPr>
      <w:r w:rsidRPr="00A3190B">
        <w:rPr>
          <w:rFonts w:eastAsia="Times New Roman" w:cstheme="minorHAnsi"/>
          <w:color w:val="050708"/>
          <w:sz w:val="24"/>
          <w:szCs w:val="24"/>
          <w:lang w:eastAsia="ro-RO"/>
        </w:rPr>
        <w:t xml:space="preserve">Termenul de primire a candidaturilor este </w:t>
      </w:r>
      <w:r>
        <w:rPr>
          <w:rFonts w:eastAsia="Times New Roman" w:cstheme="minorHAnsi"/>
          <w:color w:val="050708"/>
          <w:sz w:val="24"/>
          <w:szCs w:val="24"/>
          <w:lang w:eastAsia="ro-RO"/>
        </w:rPr>
        <w:t>23 ianuarie</w:t>
      </w:r>
      <w:r w:rsidRPr="00A3190B">
        <w:rPr>
          <w:rFonts w:eastAsia="Times New Roman" w:cstheme="minorHAnsi"/>
          <w:color w:val="050708"/>
          <w:sz w:val="24"/>
          <w:szCs w:val="24"/>
          <w:lang w:eastAsia="ro-RO"/>
        </w:rPr>
        <w:t xml:space="preserve"> 20</w:t>
      </w:r>
      <w:r>
        <w:rPr>
          <w:rFonts w:eastAsia="Times New Roman" w:cstheme="minorHAnsi"/>
          <w:color w:val="050708"/>
          <w:sz w:val="24"/>
          <w:szCs w:val="24"/>
          <w:lang w:eastAsia="ro-RO"/>
        </w:rPr>
        <w:t>20</w:t>
      </w:r>
      <w:r w:rsidRPr="00A3190B">
        <w:rPr>
          <w:rFonts w:eastAsia="Times New Roman" w:cstheme="minorHAnsi"/>
          <w:color w:val="050708"/>
          <w:sz w:val="24"/>
          <w:szCs w:val="24"/>
          <w:lang w:eastAsia="ro-RO"/>
        </w:rPr>
        <w:t>.</w:t>
      </w:r>
    </w:p>
    <w:sectPr w:rsidR="00A3190B" w:rsidRPr="00FC77D8" w:rsidSect="00FC77D8">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144"/>
    <w:rsid w:val="001264BC"/>
    <w:rsid w:val="00310144"/>
    <w:rsid w:val="003568D4"/>
    <w:rsid w:val="0038142F"/>
    <w:rsid w:val="005E6F1D"/>
    <w:rsid w:val="006B16EB"/>
    <w:rsid w:val="007A3661"/>
    <w:rsid w:val="00A3190B"/>
    <w:rsid w:val="00CA35D2"/>
    <w:rsid w:val="00D03B93"/>
    <w:rsid w:val="00DA1AE7"/>
    <w:rsid w:val="00DE12DA"/>
    <w:rsid w:val="00E25C31"/>
    <w:rsid w:val="00F30901"/>
    <w:rsid w:val="00FC77D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BFDAE"/>
  <w15:chartTrackingRefBased/>
  <w15:docId w15:val="{ECEDAFBD-8CE6-49E2-9763-9D46DF072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3">
    <w:name w:val="heading 3"/>
    <w:basedOn w:val="Normal"/>
    <w:link w:val="Titlu3Caracter"/>
    <w:uiPriority w:val="9"/>
    <w:qFormat/>
    <w:rsid w:val="00310144"/>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uiPriority w:val="9"/>
    <w:rsid w:val="00310144"/>
    <w:rPr>
      <w:rFonts w:ascii="Times New Roman" w:eastAsia="Times New Roman" w:hAnsi="Times New Roman" w:cs="Times New Roman"/>
      <w:b/>
      <w:bCs/>
      <w:sz w:val="27"/>
      <w:szCs w:val="27"/>
      <w:lang w:eastAsia="ro-RO"/>
    </w:rPr>
  </w:style>
  <w:style w:type="paragraph" w:styleId="NormalWeb">
    <w:name w:val="Normal (Web)"/>
    <w:basedOn w:val="Normal"/>
    <w:uiPriority w:val="99"/>
    <w:semiHidden/>
    <w:unhideWhenUsed/>
    <w:rsid w:val="00310144"/>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310144"/>
    <w:rPr>
      <w:b/>
      <w:bCs/>
    </w:rPr>
  </w:style>
  <w:style w:type="character" w:styleId="Hyperlink">
    <w:name w:val="Hyperlink"/>
    <w:basedOn w:val="Fontdeparagrafimplicit"/>
    <w:uiPriority w:val="99"/>
    <w:unhideWhenUsed/>
    <w:rsid w:val="00310144"/>
    <w:rPr>
      <w:color w:val="0000FF"/>
      <w:u w:val="single"/>
    </w:rPr>
  </w:style>
  <w:style w:type="table" w:styleId="Tabelgril">
    <w:name w:val="Table Grid"/>
    <w:basedOn w:val="TabelNormal"/>
    <w:uiPriority w:val="39"/>
    <w:rsid w:val="0031014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381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818990">
      <w:bodyDiv w:val="1"/>
      <w:marLeft w:val="0"/>
      <w:marRight w:val="0"/>
      <w:marTop w:val="0"/>
      <w:marBottom w:val="0"/>
      <w:divBdr>
        <w:top w:val="none" w:sz="0" w:space="0" w:color="auto"/>
        <w:left w:val="none" w:sz="0" w:space="0" w:color="auto"/>
        <w:bottom w:val="none" w:sz="0" w:space="0" w:color="auto"/>
        <w:right w:val="none" w:sz="0" w:space="0" w:color="auto"/>
      </w:divBdr>
    </w:div>
    <w:div w:id="1282035760">
      <w:bodyDiv w:val="1"/>
      <w:marLeft w:val="0"/>
      <w:marRight w:val="0"/>
      <w:marTop w:val="0"/>
      <w:marBottom w:val="0"/>
      <w:divBdr>
        <w:top w:val="none" w:sz="0" w:space="0" w:color="auto"/>
        <w:left w:val="none" w:sz="0" w:space="0" w:color="auto"/>
        <w:bottom w:val="none" w:sz="0" w:space="0" w:color="auto"/>
        <w:right w:val="none" w:sz="0" w:space="0" w:color="auto"/>
      </w:divBdr>
    </w:div>
    <w:div w:id="1549103898">
      <w:bodyDiv w:val="1"/>
      <w:marLeft w:val="0"/>
      <w:marRight w:val="0"/>
      <w:marTop w:val="0"/>
      <w:marBottom w:val="0"/>
      <w:divBdr>
        <w:top w:val="none" w:sz="0" w:space="0" w:color="auto"/>
        <w:left w:val="none" w:sz="0" w:space="0" w:color="auto"/>
        <w:bottom w:val="none" w:sz="0" w:space="0" w:color="auto"/>
        <w:right w:val="none" w:sz="0" w:space="0" w:color="auto"/>
      </w:divBdr>
    </w:div>
    <w:div w:id="166212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veronica.morecut@unbr.r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96938-B5D5-4653-B6A5-2B64A0EBE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3346</Characters>
  <DocSecurity>0</DocSecurity>
  <Lines>27</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2019-09-05T05:20:00Z</cp:lastPrinted>
  <dcterms:created xsi:type="dcterms:W3CDTF">2020-01-16T13:52:00Z</dcterms:created>
  <dcterms:modified xsi:type="dcterms:W3CDTF">2020-01-16T13:52:00Z</dcterms:modified>
</cp:coreProperties>
</file>