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B4E25" w14:textId="4ED37C9D" w:rsidR="007A477A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color w:val="222222"/>
        </w:rPr>
      </w:pPr>
    </w:p>
    <w:p w14:paraId="22607199" w14:textId="68F2B6E6" w:rsidR="003D445D" w:rsidRDefault="003D445D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color w:val="222222"/>
        </w:rPr>
      </w:pPr>
    </w:p>
    <w:p w14:paraId="425F77DC" w14:textId="77777777" w:rsidR="003D445D" w:rsidRPr="0012156B" w:rsidRDefault="003D445D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</w:rPr>
      </w:pPr>
    </w:p>
    <w:p w14:paraId="6EEB4E26" w14:textId="77777777" w:rsidR="007A477A" w:rsidRPr="0012156B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</w:rPr>
      </w:pPr>
    </w:p>
    <w:p w14:paraId="6EEB4E55" w14:textId="77777777" w:rsidR="007A477A" w:rsidRPr="0012156B" w:rsidRDefault="007A477A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</w:p>
    <w:p w14:paraId="6EEB4E64" w14:textId="77777777" w:rsidR="00B4683E" w:rsidRPr="00B4683E" w:rsidRDefault="00B4683E" w:rsidP="0012156B">
      <w:pPr>
        <w:shd w:val="clear" w:color="auto" w:fill="FFFFFF"/>
        <w:spacing w:line="360" w:lineRule="auto"/>
        <w:jc w:val="right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ANEXĂ</w:t>
      </w:r>
    </w:p>
    <w:p w14:paraId="6EEB4E65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 </w:t>
      </w:r>
    </w:p>
    <w:p w14:paraId="6EEB4E66" w14:textId="77777777" w:rsidR="00B4683E" w:rsidRPr="00B4683E" w:rsidRDefault="00B4683E" w:rsidP="0012156B">
      <w:pPr>
        <w:shd w:val="clear" w:color="auto" w:fill="AEAAAA"/>
        <w:spacing w:line="360" w:lineRule="auto"/>
        <w:jc w:val="center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000000"/>
        </w:rPr>
        <w:t>Instrucțiuni editoriale</w:t>
      </w:r>
    </w:p>
    <w:p w14:paraId="6EEB4E67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 </w:t>
      </w:r>
    </w:p>
    <w:p w14:paraId="6EEB4E68" w14:textId="77777777" w:rsidR="00B4683E" w:rsidRPr="00B4683E" w:rsidRDefault="00B4683E" w:rsidP="0012156B">
      <w:pPr>
        <w:numPr>
          <w:ilvl w:val="0"/>
          <w:numId w:val="11"/>
        </w:numPr>
        <w:shd w:val="clear" w:color="auto" w:fill="FFFFFF"/>
        <w:spacing w:line="360" w:lineRule="auto"/>
        <w:ind w:left="945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Titlul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autori</w:t>
      </w:r>
      <w:proofErr w:type="spellEnd"/>
    </w:p>
    <w:p w14:paraId="6EEB4E69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i/>
          <w:iCs/>
          <w:color w:val="222222"/>
          <w:lang w:val="fr-FR"/>
        </w:rPr>
        <w:t> </w:t>
      </w:r>
    </w:p>
    <w:p w14:paraId="6EEB4E6A" w14:textId="77777777" w:rsidR="00B4683E" w:rsidRPr="00B4683E" w:rsidRDefault="00B4683E" w:rsidP="0012156B">
      <w:pPr>
        <w:numPr>
          <w:ilvl w:val="0"/>
          <w:numId w:val="12"/>
        </w:numPr>
        <w:shd w:val="clear" w:color="auto" w:fill="FFFFFF"/>
        <w:spacing w:line="360" w:lineRule="auto"/>
        <w:ind w:left="945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Titlul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.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scrie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limba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română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centrat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mijloc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și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boldit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și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va fi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însoțit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 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traducerea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Franceză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și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Engleză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6B" w14:textId="77777777" w:rsidR="00B4683E" w:rsidRPr="00B4683E" w:rsidRDefault="00B4683E" w:rsidP="0012156B">
      <w:pPr>
        <w:numPr>
          <w:ilvl w:val="0"/>
          <w:numId w:val="12"/>
        </w:numPr>
        <w:shd w:val="clear" w:color="auto" w:fill="FFFFFF"/>
        <w:spacing w:line="360" w:lineRule="auto"/>
        <w:ind w:left="945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proofErr w:type="gram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Autorii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:</w:t>
      </w:r>
      <w:proofErr w:type="gram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grad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didactic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/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științific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/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profesional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urmat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prenume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și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; un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jos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apartenența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(Baroul);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centrate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dreapta</w:t>
      </w:r>
      <w:proofErr w:type="spellEnd"/>
    </w:p>
    <w:p w14:paraId="6EEB4E6C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</w:p>
    <w:p w14:paraId="6EEB4E6D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II.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Construcţia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lucrării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ansamblu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.</w:t>
      </w:r>
    </w:p>
    <w:p w14:paraId="6EEB4E6E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1.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Gradele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titlu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.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fi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accesibile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uşor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consultate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cititori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subiectele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tratate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trebuie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fie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coerent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clar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sistematizate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utilizându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-se un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sistem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unitar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împărţire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grade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sistem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ce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trebui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respectat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tot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conţinutul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lucrării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6F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Autorii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sunt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rugaţi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să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urmeze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sistemul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clasic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împărţire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pe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grade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titlu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, care,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funcţie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volumul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amploarea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lucrării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poate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cuprinde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următoarele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câmpuri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de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clasificare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:</w:t>
      </w:r>
      <w:proofErr w:type="gramEnd"/>
    </w:p>
    <w:p w14:paraId="6EEB4E70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Parte …</w:t>
      </w:r>
    </w:p>
    <w:p w14:paraId="6EEB4E71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              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i/>
          <w:iCs/>
          <w:color w:val="222222"/>
          <w:lang w:val="fr-FR"/>
        </w:rPr>
        <w:t>Titlu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i/>
          <w:iCs/>
          <w:color w:val="222222"/>
          <w:lang w:val="fr-FR"/>
        </w:rPr>
        <w:t xml:space="preserve"> … (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i/>
          <w:iCs/>
          <w:color w:val="222222"/>
          <w:lang w:val="fr-FR"/>
        </w:rPr>
        <w:t>opţional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i/>
          <w:iCs/>
          <w:color w:val="222222"/>
          <w:lang w:val="fr-FR"/>
        </w:rPr>
        <w:t>)</w:t>
      </w:r>
    </w:p>
    <w:p w14:paraId="6EEB4E72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                              Capitol …</w:t>
      </w:r>
    </w:p>
    <w:p w14:paraId="6EEB4E73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                                              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Secţiune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…</w:t>
      </w:r>
    </w:p>
    <w:p w14:paraId="6EEB4E74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                                                              §1. …</w:t>
      </w:r>
    </w:p>
    <w:p w14:paraId="6EEB4E75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                                                                              1.1. …</w:t>
      </w:r>
    </w:p>
    <w:p w14:paraId="6EEB4E76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                                                                                             A. …</w:t>
      </w:r>
    </w:p>
    <w:p w14:paraId="6EEB4E77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</w:p>
    <w:p w14:paraId="6EEB4E78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2.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Prescurtările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.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Prescurtările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trebuie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folosite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economic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putinţă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nu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prejudicia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lizibilitatea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Nu se vor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utiliza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niciodată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prescurtări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79" w14:textId="77777777" w:rsidR="00B4683E" w:rsidRPr="00B4683E" w:rsidRDefault="00B4683E" w:rsidP="0012156B">
      <w:pPr>
        <w:shd w:val="clear" w:color="auto" w:fill="FFFFFF"/>
        <w:spacing w:line="360" w:lineRule="auto"/>
        <w:ind w:left="539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lastRenderedPageBreak/>
        <w:t>2.1.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legislaţiei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atât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va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utilizându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următoarele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standarde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</w:p>
    <w:p w14:paraId="6EEB4E7A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a) Codurile</w:t>
      </w:r>
      <w:r w:rsidRPr="00B4683E">
        <w:rPr>
          <w:rFonts w:asciiTheme="minorHAnsi" w:eastAsia="Times New Roman" w:hAnsiTheme="minorHAnsi" w:cstheme="minorHAnsi"/>
          <w:color w:val="222222"/>
        </w:rPr>
        <w:t xml:space="preserve"> nu se prescurtează atunci când la ele se face o referire generică sau sunt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însoţite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de o subdiviziune ce le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aparţine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>.</w:t>
      </w:r>
    </w:p>
    <w:p w14:paraId="6EEB4E7B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Referirile la vechile coduri se fac astfel: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C.civ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. din 1864,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C.proc.civ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. din 1865,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C.pen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. din 1969,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C.proc.pen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. din 1968</w:t>
      </w:r>
    </w:p>
    <w:p w14:paraId="6EEB4E7C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gram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Ex.:</w:t>
      </w:r>
      <w:proofErr w:type="gramEnd"/>
    </w:p>
    <w:p w14:paraId="6EEB4E7D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dispoziţiile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Codului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procedură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civilă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...</w:t>
      </w:r>
    </w:p>
    <w:p w14:paraId="6EEB4E7E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Cartea a II-a, Titlul I din Codul civil</w:t>
      </w:r>
    </w:p>
    <w:p w14:paraId="6EEB4E7F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spacing w:val="-2"/>
        </w:rPr>
        <w:t xml:space="preserve">Când sunt citate împreună cu un articol ce le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</w:rPr>
        <w:t>aparţine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</w:rPr>
        <w:t xml:space="preserve">, codurile se prescurtează întotdeauna în modul următor: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</w:rPr>
        <w:t>C.proc.civ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</w:rPr>
        <w:t xml:space="preserve">.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</w:rPr>
        <w:t>C.civ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</w:rPr>
        <w:t xml:space="preserve">.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</w:rPr>
        <w:t>C.pen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</w:rPr>
        <w:t xml:space="preserve">.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</w:rPr>
        <w:t>C.proc.pen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</w:rPr>
        <w:t xml:space="preserve">. / C.com.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</w:rPr>
        <w:t>C.fisc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</w:rPr>
        <w:t>. /</w:t>
      </w:r>
      <w:r w:rsidRPr="00B4683E">
        <w:rPr>
          <w:rFonts w:asciiTheme="minorHAnsi" w:eastAsia="Times New Roman" w:hAnsiTheme="minorHAnsi" w:cstheme="minorHAnsi"/>
          <w:color w:val="222222"/>
        </w:rPr>
        <w:br/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C.proc.fisc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.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C.fam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.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C.muncii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C.silvic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C.aerian</w:t>
      </w:r>
      <w:proofErr w:type="spellEnd"/>
    </w:p>
    <w:p w14:paraId="6EEB4E80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gram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Ex.: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 art. 178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C.pen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81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b)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Celelalte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acte normative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nu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atunci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cuprinsul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materialului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82" w14:textId="77777777" w:rsidR="00B4683E" w:rsidRPr="00B4683E" w:rsidRDefault="00B4683E" w:rsidP="0012156B">
      <w:pPr>
        <w:shd w:val="clear" w:color="auto" w:fill="FFFFFF"/>
        <w:spacing w:line="360" w:lineRule="auto"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normative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astfel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</w:p>
    <w:p w14:paraId="6EEB4E83" w14:textId="77777777" w:rsidR="00B4683E" w:rsidRPr="00B4683E" w:rsidRDefault="00B4683E" w:rsidP="0012156B">
      <w:pPr>
        <w:shd w:val="clear" w:color="auto" w:fill="FFFFFF"/>
        <w:spacing w:line="360" w:lineRule="auto"/>
        <w:ind w:firstLine="902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- O.G. nr. 113/1998</w:t>
      </w:r>
    </w:p>
    <w:p w14:paraId="6EEB4E84" w14:textId="77777777" w:rsidR="00B4683E" w:rsidRPr="00B4683E" w:rsidRDefault="00B4683E" w:rsidP="0012156B">
      <w:pPr>
        <w:shd w:val="clear" w:color="auto" w:fill="FFFFFF"/>
        <w:spacing w:line="360" w:lineRule="auto"/>
        <w:ind w:firstLine="90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- O.U.G. nr. 105/2002</w:t>
      </w:r>
    </w:p>
    <w:p w14:paraId="6EEB4E85" w14:textId="77777777" w:rsidR="00B4683E" w:rsidRPr="00B4683E" w:rsidRDefault="00B4683E" w:rsidP="0012156B">
      <w:pPr>
        <w:shd w:val="clear" w:color="auto" w:fill="FFFFFF"/>
        <w:spacing w:line="360" w:lineRule="auto"/>
        <w:ind w:firstLine="90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- H.G. nr. 1167/1999</w:t>
      </w:r>
    </w:p>
    <w:p w14:paraId="6EEB4E86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</w:p>
    <w:p w14:paraId="6EEB4E87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c)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Articolele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subdiviziunile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abreviază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astfel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</w:p>
    <w:p w14:paraId="6EEB4E88" w14:textId="77777777" w:rsidR="00B4683E" w:rsidRPr="00B4683E" w:rsidRDefault="00B4683E" w:rsidP="0012156B">
      <w:pPr>
        <w:shd w:val="clear" w:color="auto" w:fill="FFFFFF"/>
        <w:spacing w:line="360" w:lineRule="auto"/>
        <w:ind w:firstLine="902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- art. 4</w:t>
      </w:r>
    </w:p>
    <w:p w14:paraId="6EEB4E89" w14:textId="77777777" w:rsidR="00B4683E" w:rsidRPr="00B4683E" w:rsidRDefault="00B4683E" w:rsidP="0012156B">
      <w:pPr>
        <w:shd w:val="clear" w:color="auto" w:fill="FFFFFF"/>
        <w:spacing w:line="360" w:lineRule="auto"/>
        <w:ind w:firstLine="902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- alin. (1)</w:t>
      </w:r>
    </w:p>
    <w:p w14:paraId="6EEB4E8A" w14:textId="77777777" w:rsidR="00B4683E" w:rsidRPr="00B4683E" w:rsidRDefault="00B4683E" w:rsidP="0012156B">
      <w:pPr>
        <w:shd w:val="clear" w:color="auto" w:fill="FFFFFF"/>
        <w:spacing w:line="360" w:lineRule="auto"/>
        <w:ind w:firstLine="902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- lit. a)</w:t>
      </w:r>
    </w:p>
    <w:p w14:paraId="6EEB4E8B" w14:textId="77777777" w:rsidR="00B4683E" w:rsidRPr="00B4683E" w:rsidRDefault="00B4683E" w:rsidP="0012156B">
      <w:pPr>
        <w:shd w:val="clear" w:color="auto" w:fill="FFFFFF"/>
        <w:spacing w:line="360" w:lineRule="auto"/>
        <w:ind w:firstLine="902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parag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>.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1</w:t>
      </w:r>
    </w:p>
    <w:p w14:paraId="6EEB4E8C" w14:textId="77777777" w:rsidR="00B4683E" w:rsidRPr="00B4683E" w:rsidRDefault="00B4683E" w:rsidP="0012156B">
      <w:pPr>
        <w:shd w:val="clear" w:color="auto" w:fill="FFFFFF"/>
        <w:spacing w:line="360" w:lineRule="auto"/>
        <w:ind w:firstLine="902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pct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 1</w:t>
      </w:r>
    </w:p>
    <w:p w14:paraId="6EEB4E8D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 </w:t>
      </w:r>
    </w:p>
    <w:p w14:paraId="6EEB4E8E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d)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Prepoziţia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 „din”</w:t>
      </w:r>
      <w:r w:rsidRPr="00B4683E">
        <w:rPr>
          <w:rFonts w:asciiTheme="minorHAnsi" w:eastAsia="Times New Roman" w:hAnsiTheme="minorHAnsi" w:cstheme="minorHAnsi"/>
          <w:color w:val="222222"/>
        </w:rPr>
        <w:t xml:space="preserve">, la alăturarea articolului cu actul normativ,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foloseşte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astfel:</w:t>
      </w:r>
    </w:p>
    <w:p w14:paraId="6EEB4E8F" w14:textId="77777777" w:rsidR="00B4683E" w:rsidRPr="00B4683E" w:rsidRDefault="00B4683E" w:rsidP="0012156B">
      <w:pPr>
        <w:shd w:val="clear" w:color="auto" w:fill="FFFFFF"/>
        <w:spacing w:line="360" w:lineRule="auto"/>
        <w:ind w:left="90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la acte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normative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altele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decât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codurile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trece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prepoziţia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„din”.</w:t>
      </w:r>
    </w:p>
    <w:p w14:paraId="6EEB4E90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en-US"/>
        </w:rPr>
        <w:t>Ex.:</w:t>
      </w:r>
    </w:p>
    <w:p w14:paraId="6EEB4E91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de-DE"/>
        </w:rPr>
        <w:t>art. 1 din O.U.G. nr. ...</w:t>
      </w:r>
    </w:p>
    <w:p w14:paraId="6EEB4E92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pct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45.5 din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Normele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metodologice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nr. ....</w:t>
      </w:r>
    </w:p>
    <w:p w14:paraId="6EEB4E93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art. 30 din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Constituţie</w:t>
      </w:r>
      <w:proofErr w:type="spellEnd"/>
    </w:p>
    <w:p w14:paraId="6EEB4E94" w14:textId="77777777" w:rsidR="00B4683E" w:rsidRPr="00B4683E" w:rsidRDefault="00B4683E" w:rsidP="0012156B">
      <w:pPr>
        <w:shd w:val="clear" w:color="auto" w:fill="FFFFFF"/>
        <w:spacing w:line="360" w:lineRule="auto"/>
        <w:ind w:left="90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</w:p>
    <w:p w14:paraId="6EEB4E95" w14:textId="77777777" w:rsidR="00B4683E" w:rsidRPr="00B4683E" w:rsidRDefault="00B4683E" w:rsidP="0012156B">
      <w:pPr>
        <w:shd w:val="clear" w:color="auto" w:fill="FFFFFF"/>
        <w:spacing w:line="360" w:lineRule="auto"/>
        <w:ind w:left="90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coduri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nu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trece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niciodată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prepoziţia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„din”.</w:t>
      </w:r>
    </w:p>
    <w:p w14:paraId="6EEB4E96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Ex.:</w:t>
      </w:r>
      <w:r w:rsidRPr="00B4683E">
        <w:rPr>
          <w:rFonts w:asciiTheme="minorHAnsi" w:eastAsia="Times New Roman" w:hAnsiTheme="minorHAnsi" w:cstheme="minorHAnsi"/>
          <w:color w:val="222222"/>
        </w:rPr>
        <w:t xml:space="preserve"> art. 167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C.proc.civ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>.</w:t>
      </w:r>
    </w:p>
    <w:p w14:paraId="6EEB4E97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lastRenderedPageBreak/>
        <w:t> </w:t>
      </w:r>
    </w:p>
    <w:p w14:paraId="6EEB4E98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e)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Indicii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,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cazul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alineatelor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sau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literelor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paranteze</w:t>
      </w:r>
      <w:proofErr w:type="spellEnd"/>
    </w:p>
    <w:p w14:paraId="6EEB4E99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Ex.:</w:t>
      </w:r>
      <w:r w:rsidRPr="00B4683E">
        <w:rPr>
          <w:rFonts w:asciiTheme="minorHAnsi" w:eastAsia="Times New Roman" w:hAnsiTheme="minorHAnsi" w:cstheme="minorHAnsi"/>
          <w:color w:val="222222"/>
        </w:rPr>
        <w:t> art. 12 alin. (5</w:t>
      </w:r>
      <w:r w:rsidRPr="00B4683E">
        <w:rPr>
          <w:rFonts w:asciiTheme="minorHAnsi" w:eastAsia="Times New Roman" w:hAnsiTheme="minorHAnsi" w:cstheme="minorHAnsi"/>
          <w:color w:val="222222"/>
          <w:vertAlign w:val="superscript"/>
        </w:rPr>
        <w:t>1</w:t>
      </w:r>
      <w:r w:rsidRPr="00B4683E">
        <w:rPr>
          <w:rFonts w:asciiTheme="minorHAnsi" w:eastAsia="Times New Roman" w:hAnsiTheme="minorHAnsi" w:cstheme="minorHAnsi"/>
          <w:color w:val="222222"/>
        </w:rPr>
        <w:t>), art. 100 lit. a</w:t>
      </w:r>
      <w:r w:rsidRPr="00B4683E">
        <w:rPr>
          <w:rFonts w:asciiTheme="minorHAnsi" w:eastAsia="Times New Roman" w:hAnsiTheme="minorHAnsi" w:cstheme="minorHAnsi"/>
          <w:color w:val="222222"/>
          <w:vertAlign w:val="superscript"/>
        </w:rPr>
        <w:t>1</w:t>
      </w:r>
      <w:r w:rsidRPr="00B4683E">
        <w:rPr>
          <w:rFonts w:asciiTheme="minorHAnsi" w:eastAsia="Times New Roman" w:hAnsiTheme="minorHAnsi" w:cstheme="minorHAnsi"/>
          <w:color w:val="222222"/>
        </w:rPr>
        <w:t>)</w:t>
      </w:r>
    </w:p>
    <w:p w14:paraId="6EEB4E9A" w14:textId="77777777" w:rsidR="00B4683E" w:rsidRPr="00B4683E" w:rsidRDefault="00B4683E" w:rsidP="0012156B">
      <w:pPr>
        <w:shd w:val="clear" w:color="auto" w:fill="FFFFFF"/>
        <w:spacing w:line="360" w:lineRule="auto"/>
        <w:ind w:left="539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2.2.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Prescurtarea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jurisprudenţei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,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atât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va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utilizându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următoarele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standarde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</w:p>
    <w:p w14:paraId="6EEB4E9B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sunt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unei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speţe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instanţelor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scriu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utilizându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următoarele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prescurtări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</w:p>
    <w:p w14:paraId="6EEB4E9C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C.A.                                       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curte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(a)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apel</w:t>
      </w:r>
      <w:proofErr w:type="spellEnd"/>
    </w:p>
    <w:p w14:paraId="6EEB4E9D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Cas.                                       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Curtea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Casaţie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Justiţie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României</w:t>
      </w:r>
      <w:proofErr w:type="spellEnd"/>
    </w:p>
    <w:p w14:paraId="6EEB4E9E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Cass.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fr.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                               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Curtea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Casaţie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franceză</w:t>
      </w:r>
      <w:proofErr w:type="spellEnd"/>
    </w:p>
    <w:p w14:paraId="6EEB4E9F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CEDO                                    - Curtea Europeană a Drepturilor Omului</w:t>
      </w:r>
    </w:p>
    <w:p w14:paraId="6EEB4EA0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CJCE                                     - Curtea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Justiţie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Comunităţilor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Europene</w:t>
      </w:r>
    </w:p>
    <w:p w14:paraId="6EEB4EA1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col. jur.                                - colegiu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jurisdicţional</w:t>
      </w:r>
      <w:proofErr w:type="spellEnd"/>
    </w:p>
    <w:p w14:paraId="6EEB4EA2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C.S.J.                                     - Curtea Supremă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Justiţie</w:t>
      </w:r>
      <w:proofErr w:type="spellEnd"/>
    </w:p>
    <w:p w14:paraId="6EEB4EA3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I.C.C.J.                                 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Înalta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Curte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Casaţie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Justiţie</w:t>
      </w:r>
      <w:proofErr w:type="spellEnd"/>
    </w:p>
    <w:p w14:paraId="6EEB4EA4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Trib. Bucureşti                  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Tribunalul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Bucureşti</w:t>
      </w:r>
    </w:p>
    <w:p w14:paraId="6EEB4EA5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T.M.B.                                  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Tribunalul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Municipiului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Bucureşti</w:t>
      </w:r>
    </w:p>
    <w:p w14:paraId="6EEB4EA6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Trib.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jud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                            - tribunal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judeţean</w:t>
      </w:r>
      <w:proofErr w:type="spellEnd"/>
    </w:p>
    <w:p w14:paraId="6EEB4EA7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Trib. Reg.                            - tribunal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regional</w:t>
      </w:r>
      <w:proofErr w:type="spellEnd"/>
    </w:p>
    <w:p w14:paraId="6EEB4EA8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Trib.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Suprem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                     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Tribunalul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Suprem</w:t>
      </w:r>
      <w:proofErr w:type="spellEnd"/>
    </w:p>
    <w:p w14:paraId="6EEB4EA9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                                       -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judecătoria</w:t>
      </w:r>
      <w:proofErr w:type="spellEnd"/>
    </w:p>
    <w:p w14:paraId="6EEB4EAA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</w:p>
    <w:p w14:paraId="6EEB4EAB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Secţiile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instanţelor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judecătoreşti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precum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sentinţele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hotărârile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/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deciziile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scriu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fără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prescurtări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mici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pun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virgule.</w:t>
      </w:r>
    </w:p>
    <w:p w14:paraId="6EEB4EAC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</w:t>
      </w:r>
    </w:p>
    <w:p w14:paraId="6EEB4EAD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C.S.J.,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civilă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decizia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nr. …</w:t>
      </w:r>
    </w:p>
    <w:p w14:paraId="6EEB4EAE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C.A. Ploieşti,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comercială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, …</w:t>
      </w:r>
    </w:p>
    <w:p w14:paraId="6EEB4EAF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I.C.C.J.,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contencios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administrativ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fiscal, …</w:t>
      </w:r>
    </w:p>
    <w:p w14:paraId="6EEB4EB0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Trib. Argeş,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conflicte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muncă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litigii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muncă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, …</w:t>
      </w:r>
    </w:p>
    <w:p w14:paraId="6EEB4EB1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lastRenderedPageBreak/>
        <w:t xml:space="preserve">Trib. jud.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Timiş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penală,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sentinţa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nr. …</w:t>
      </w:r>
    </w:p>
    <w:p w14:paraId="6EEB4EB2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 </w:t>
      </w:r>
    </w:p>
    <w:p w14:paraId="6EEB4EB3" w14:textId="77777777" w:rsidR="00B4683E" w:rsidRPr="00B4683E" w:rsidRDefault="00B4683E" w:rsidP="0012156B">
      <w:pPr>
        <w:shd w:val="clear" w:color="auto" w:fill="FFFFFF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Deciziile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Curţii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Constituţionale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scriu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literă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mare:</w:t>
      </w:r>
      <w:proofErr w:type="gramEnd"/>
    </w:p>
    <w:p w14:paraId="6EEB4EB4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gram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Ex.: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Decizia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Curţii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Constituţionale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nr. 123 din 14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aprilie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2000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sau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DCC nr.</w:t>
      </w:r>
    </w:p>
    <w:p w14:paraId="6EEB4EB5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</w:p>
    <w:p w14:paraId="6EEB4EB6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3. Citarea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legislaţiei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, doctrinei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</w:rPr>
        <w:t>jurisprudenţei</w:t>
      </w:r>
      <w:proofErr w:type="spellEnd"/>
    </w:p>
    <w:p w14:paraId="6EEB4EB7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3.1.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Modul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citare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.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o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bună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claritate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o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vedere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ansamblu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este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preferat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lege, doctrina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jurisprudenţa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specialitate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fie redate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nu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vor fi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scrise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normal,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acelaşi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font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restul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evidenţierea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va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prin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plasarea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ghilimele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„ … ”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sursele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din care s-a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făcut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vor face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numai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B8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Partea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dintr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-un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indiferent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sursa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acestuia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care nu este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redată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înlocuieşte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puncte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paranteze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rotunde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(...).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cazul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care o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formulare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implică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folosirea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parantezelor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rotunde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face parte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dintr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-o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alta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amplă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aceasta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urmă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trebuie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trecută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paranteze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drepte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B9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Ex.: [art. 25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alin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. (2) din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Legea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nr. ...].</w:t>
      </w:r>
    </w:p>
    <w:p w14:paraId="6EEB4EBA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3.2.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Trimiterile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b/>
          <w:bCs/>
          <w:i/>
          <w:iCs/>
          <w:color w:val="222222"/>
          <w:lang w:val="fr-FR"/>
        </w:rPr>
        <w:t>infra / supra.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cadrul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aceleiaşi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lucrări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vor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realiza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prin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intermediul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exact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cititorului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locul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este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preferat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facă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numărul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marginal 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paragrafului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Totuşi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cazul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lucrărilor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ce nu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beneficiază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numerotarea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marginală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paragrafelor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va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gradul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avut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vedere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capitol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secţiune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etc.)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numărul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paginii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care se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BB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</w:p>
    <w:p w14:paraId="6EEB4EBC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3.3.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Citarea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legislaţiei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.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normative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conform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indicaţiilor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mai sus.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asemenea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include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complet 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actului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normativ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BD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</w:t>
      </w:r>
    </w:p>
    <w:p w14:paraId="6EEB4EBE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O.U.G. nr. 138/2004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modificarea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completarea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Legii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nr. 571/2003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privind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>Codul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  <w:lang w:val="fr-FR"/>
        </w:rPr>
        <w:t xml:space="preserve"> fiscal.</w:t>
      </w:r>
    </w:p>
    <w:p w14:paraId="6EEB4EBF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un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normativ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menţiona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referinţa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identificarea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lui 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Monitorul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Oficial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Buletinul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oficial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etc.).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Monitorul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Oficial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României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respectiv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Buletinul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Oficial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României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vor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scrie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astfel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</w:p>
    <w:p w14:paraId="6EEB4EC0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M.Of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nr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124 din 13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decembrie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2004)</w:t>
      </w:r>
    </w:p>
    <w:p w14:paraId="6EEB4EC1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B.Of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nr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143 din 15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martie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1985)</w:t>
      </w:r>
    </w:p>
    <w:p w14:paraId="6EEB4EC2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br w:type="textWrapping" w:clear="all"/>
      </w:r>
    </w:p>
    <w:p w14:paraId="6EEB4EC3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Atunci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normativ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este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text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nota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direct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sursa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care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poate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fi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găsit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fără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se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menţiunea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publicat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 xml:space="preserve"> </w:t>
      </w:r>
      <w:proofErr w:type="gram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…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.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Atunci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normativ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este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direct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nota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referinţa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identificarea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lui 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trece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imediat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după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acestuia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paranteze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C4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Ex.</w:t>
      </w:r>
    </w:p>
    <w:p w14:paraId="6EEB4EC5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spacing w:val="-4"/>
        </w:rPr>
        <w:lastRenderedPageBreak/>
        <w:t xml:space="preserve">O.U.G. nr. 138/2004 pentru modificarea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4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4"/>
        </w:rPr>
        <w:t xml:space="preserve"> completarea Legii nr. 571/2003 privind Codul fiscal.</w:t>
      </w:r>
    </w:p>
    <w:p w14:paraId="6EEB4EC6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O.U.G. nr. 138/2004 pentru modificarea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completarea Legii nr. 571/2003 privind Codul fiscal (M. Of. nr. 1281 din 30 decembrie 2004).</w:t>
      </w:r>
    </w:p>
    <w:p w14:paraId="6EEB4EC7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Având în vedere aplicarea legilor în timp, autorii sunt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rugaţi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ca, atunci când fac trimitere la un anumit act normativ, să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menţioneze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întotdeauna care din formele modificate ale acestuia a fost avută în vedere în citarea respectivă.</w:t>
      </w:r>
    </w:p>
    <w:p w14:paraId="6EEB4EC8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Ex.</w:t>
      </w:r>
    </w:p>
    <w:p w14:paraId="6EEB4EC9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Legea nr. 571/2003 privind Codul fiscal 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M.Of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. nr. 927 din 23 decembrie 2003), cu modificările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completările aduse prin O.U.G. nr. 138/2004 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M.Of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>. nr. 1281 din 30 decembrie 2004).</w:t>
      </w:r>
    </w:p>
    <w:p w14:paraId="6EEB4ECA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3.4.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Citarea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doctrinei</w:t>
      </w:r>
      <w:proofErr w:type="spellEnd"/>
    </w:p>
    <w:p w14:paraId="6EEB4ECB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a)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Autorii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iniţiala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prenumelui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complet.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Evidenţierea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caractere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italice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un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are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două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prenume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ambele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iniţiale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urmate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punct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fără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spaţiu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ele</w:t>
      </w:r>
      <w:proofErr w:type="spellEnd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.: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V.M. Ciobanu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 …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Cratima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(-)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foloseşte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separarea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sau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prenumelor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cazul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compuse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 </w:t>
      </w:r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Henri-Jaques Lucas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se va cita </w:t>
      </w:r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H.-J. Lucas …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sunt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mulţi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aceştia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separă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prin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virgulă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 xml:space="preserve">V.M. Ciobanu, G.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Boroi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...</w:t>
      </w:r>
    </w:p>
    <w:p w14:paraId="6EEB4ECC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b)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Cărţile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indicaţii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complete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la prima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cuprinsul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lucrării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adică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titlu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subtitlu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,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ediţia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numărul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acesteia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trece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caractere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arabe –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ed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. </w:t>
      </w:r>
      <w:proofErr w:type="gram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</w:t>
      </w:r>
      <w:proofErr w:type="gram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2-a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>),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editura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Ed.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),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locul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anul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publicării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,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volumul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caractere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romane – </w:t>
      </w: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vol. I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),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numărul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marginal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sau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pagina la care se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CD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</w:t>
      </w:r>
    </w:p>
    <w:p w14:paraId="6EEB4ECE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i/>
          <w:iCs/>
          <w:color w:val="222222"/>
          <w:lang w:val="en-US"/>
        </w:rPr>
        <w:t xml:space="preserve">V.M. Ciobanu, G.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en-US"/>
        </w:rPr>
        <w:t>Boroi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>,</w:t>
      </w:r>
      <w:r w:rsidRPr="00B4683E">
        <w:rPr>
          <w:rFonts w:asciiTheme="minorHAnsi" w:eastAsia="Times New Roman" w:hAnsiTheme="minorHAnsi" w:cstheme="minorHAnsi"/>
          <w:i/>
          <w:iCs/>
          <w:color w:val="222222"/>
          <w:lang w:val="en-US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Drept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procesual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civil. Curs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selectiv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licenţă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>. </w:t>
      </w:r>
      <w:r w:rsidRPr="00B4683E">
        <w:rPr>
          <w:rFonts w:asciiTheme="minorHAnsi" w:eastAsia="Times New Roman" w:hAnsiTheme="minorHAnsi" w:cstheme="minorHAnsi"/>
          <w:color w:val="222222"/>
        </w:rPr>
        <w:t xml:space="preserve">Teste grilă, ed. a 2-a, Ed.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All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Beck,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Bucureşti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>, 2003, p. 234.</w:t>
      </w:r>
    </w:p>
    <w:p w14:paraId="6EEB4ECF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en-US"/>
        </w:rPr>
        <w:t> </w:t>
      </w:r>
    </w:p>
    <w:p w14:paraId="6EEB4ED0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Ulterior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primei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citări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folosi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menţiunea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„op.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.”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numărul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marginal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sau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pagina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unde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regăseşte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chestiunea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D1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</w:t>
      </w:r>
    </w:p>
    <w:p w14:paraId="6EEB4ED2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 xml:space="preserve">V.M. Ciobanu, G.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Boroi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,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 op.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., p. …</w:t>
      </w:r>
    </w:p>
    <w:p w14:paraId="6EEB4ED3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lastRenderedPageBreak/>
        <w:br w:type="textWrapping" w:clear="all"/>
      </w:r>
    </w:p>
    <w:p w14:paraId="6EEB4ED4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Dacă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un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este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multe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cărţi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cadrul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lucrării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face des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toate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acestea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pentru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deosebirea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folosi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o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abreviere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titlului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care se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fiecare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D5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</w:t>
      </w:r>
    </w:p>
    <w:p w14:paraId="6EEB4ED6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notele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 se vor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cita:</w:t>
      </w:r>
      <w:proofErr w:type="gramEnd"/>
    </w:p>
    <w:p w14:paraId="6EEB4ED7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 xml:space="preserve">I.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Leş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,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Tratat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…, op.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., p. ….</w:t>
      </w:r>
    </w:p>
    <w:p w14:paraId="6EEB4ED8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 xml:space="preserve">I.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Leş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,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Comentariile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…, op.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., vol. II, p. ….</w:t>
      </w:r>
    </w:p>
    <w:p w14:paraId="6EEB4ED9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</w:p>
    <w:p w14:paraId="6EEB4EDA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sunt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rugaţi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</w:t>
      </w:r>
      <w:proofErr w:type="spellEnd"/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atunci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fac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cărţi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multe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ediţii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citeze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u w:val="single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u w:val="single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u w:val="single"/>
          <w:lang w:val="fr-FR"/>
        </w:rPr>
        <w:t>ediţia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u w:val="single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u w:val="single"/>
          <w:lang w:val="fr-FR"/>
        </w:rPr>
        <w:t>cea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u w:val="single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u w:val="single"/>
          <w:lang w:val="fr-FR"/>
        </w:rPr>
        <w:t>recentă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ediţiilor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vechi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este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acceptabilă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cazurile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face la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anumite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idei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sau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opinii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autorului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citat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care nu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regăsesc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ultima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ediţie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DB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br w:type="textWrapping" w:clear="all"/>
      </w:r>
    </w:p>
    <w:p w14:paraId="6EEB4EDC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c)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Articolele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studiile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din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publicaţiile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periodice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similar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cărţilor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tuturor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elementelor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de </w:t>
      </w:r>
      <w:proofErr w:type="spellStart"/>
      <w:proofErr w:type="gram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identificare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:</w:t>
      </w:r>
      <w:proofErr w:type="gram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iniţiala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prenumelui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numele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autorului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,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titlul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complet 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articolului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,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publicaţia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număr</w:t>
      </w:r>
      <w:proofErr w:type="spellEnd"/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/an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pagina</w:t>
      </w:r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 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trimitere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.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cazul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publicaţiilor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denumire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formată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din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multe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cuvinte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nota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subsol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menţiona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prescurtarea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uzuală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acestuia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denumirea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completă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trebuie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regăsească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lista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abrevieri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DD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</w:t>
      </w:r>
    </w:p>
    <w:p w14:paraId="6EEB4EDE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i/>
          <w:iCs/>
          <w:color w:val="222222"/>
          <w:spacing w:val="-2"/>
          <w:lang w:val="fr-FR"/>
        </w:rPr>
        <w:t xml:space="preserve">M.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spacing w:val="-2"/>
          <w:lang w:val="fr-FR"/>
        </w:rPr>
        <w:t>Pivniceru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spacing w:val="-2"/>
          <w:lang w:val="fr-FR"/>
        </w:rPr>
        <w:t>, </w:t>
      </w:r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Natura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>juridică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>contractului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 de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>joc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>prinsoare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>Dreptul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spacing w:val="-2"/>
          <w:lang w:val="fr-FR"/>
        </w:rPr>
        <w:t xml:space="preserve"> nr. 5/2004, p. 12.</w:t>
      </w:r>
    </w:p>
    <w:p w14:paraId="6EEB4EDF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i/>
          <w:iCs/>
          <w:color w:val="222222"/>
          <w:lang w:val="en-US"/>
        </w:rPr>
        <w:t xml:space="preserve">G.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en-US"/>
        </w:rPr>
        <w:t>Boroi</w:t>
      </w:r>
      <w:proofErr w:type="spellEnd"/>
      <w:r w:rsidRPr="00B4683E">
        <w:rPr>
          <w:rFonts w:asciiTheme="minorHAnsi" w:eastAsia="Times New Roman" w:hAnsiTheme="minorHAnsi" w:cstheme="minorHAnsi"/>
          <w:i/>
          <w:iCs/>
          <w:color w:val="222222"/>
          <w:lang w:val="en-US"/>
        </w:rPr>
        <w:t>,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Regimul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juridic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al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garanţiilor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reale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mobiliare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în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C.J. nr. 11/2004, p. 134.</w:t>
      </w:r>
    </w:p>
    <w:p w14:paraId="6EEB4EE0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en-US"/>
        </w:rPr>
        <w:t> </w:t>
      </w:r>
    </w:p>
    <w:p w14:paraId="6EEB4EE1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en-US"/>
        </w:rPr>
        <w:t xml:space="preserve">3.5. </w:t>
      </w:r>
      <w:proofErr w:type="spellStart"/>
      <w:r w:rsidRPr="00B4683E">
        <w:rPr>
          <w:rFonts w:asciiTheme="minorHAnsi" w:eastAsia="Times New Roman" w:hAnsiTheme="minorHAnsi" w:cstheme="minorHAnsi"/>
          <w:b/>
          <w:bCs/>
          <w:color w:val="222222"/>
          <w:lang w:val="en-US"/>
        </w:rPr>
        <w:t>Jurisprudenţa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 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cu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referinţe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complete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privind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instanţa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(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dacă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este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cazul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),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numărul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anul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deciziei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utilizându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-se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prescurtările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indicate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en-US"/>
        </w:rPr>
        <w:t>mai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en-US"/>
        </w:rPr>
        <w:t xml:space="preserve"> sus. 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când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o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speţă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se va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sursa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din care 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fost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preluată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iar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dacă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speţa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nu a mai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fost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publicată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, se va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menţiunea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 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  <w:lang w:val="fr-FR"/>
        </w:rPr>
        <w:t>nepublicată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E2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Ex.</w:t>
      </w:r>
    </w:p>
    <w:p w14:paraId="6EEB4EE3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C.S.J.,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penală, decizia nr. 1238 din 14 martie 2004, C.J. nr. 6/2004.</w:t>
      </w:r>
    </w:p>
    <w:p w14:paraId="6EEB4EE4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Curtea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Constituţională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>, Decizia nr. 154 din 10 martie 2004 (M. Of. nr. 286 din 6 aprilie 2004).</w:t>
      </w:r>
    </w:p>
    <w:p w14:paraId="6EEB4EE5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Jud. Craiova,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Sentinţa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penală nr. 124 din 8 iunie 2003, nepublicată.</w:t>
      </w:r>
    </w:p>
    <w:p w14:paraId="6EEB4EE6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 xml:space="preserve">Dacă se face trimitere la o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speţă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publicată într-o revistă sau o culegere de practică judiciară, în care acea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speţă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este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însoţită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de o notă sau un comentariu, în nota de trimitere se va face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menţiune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despre aceasta.</w:t>
      </w:r>
    </w:p>
    <w:p w14:paraId="6EEB4EE7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</w:rPr>
        <w:t>Ex.</w:t>
      </w:r>
    </w:p>
    <w:p w14:paraId="6EEB4EE8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lastRenderedPageBreak/>
        <w:t xml:space="preserve">I.C.C.J.,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Secţia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civilă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</w:rPr>
        <w:t>şi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 xml:space="preserve"> de proprietate intelectuală, decizia nr. 1245 din 13 decembrie 2004, Dreptul nr. 2/2005, p. 124, cu notă (comentariu) de </w:t>
      </w:r>
      <w:r w:rsidRPr="00B4683E">
        <w:rPr>
          <w:rFonts w:asciiTheme="minorHAnsi" w:eastAsia="Times New Roman" w:hAnsiTheme="minorHAnsi" w:cstheme="minorHAnsi"/>
          <w:i/>
          <w:iCs/>
          <w:color w:val="222222"/>
        </w:rPr>
        <w:t xml:space="preserve">Ş. </w:t>
      </w:r>
      <w:proofErr w:type="spellStart"/>
      <w:r w:rsidRPr="00B4683E">
        <w:rPr>
          <w:rFonts w:asciiTheme="minorHAnsi" w:eastAsia="Times New Roman" w:hAnsiTheme="minorHAnsi" w:cstheme="minorHAnsi"/>
          <w:i/>
          <w:iCs/>
          <w:color w:val="222222"/>
        </w:rPr>
        <w:t>Beligrădeanu</w:t>
      </w:r>
      <w:proofErr w:type="spellEnd"/>
      <w:r w:rsidRPr="00B4683E">
        <w:rPr>
          <w:rFonts w:asciiTheme="minorHAnsi" w:eastAsia="Times New Roman" w:hAnsiTheme="minorHAnsi" w:cstheme="minorHAnsi"/>
          <w:color w:val="222222"/>
        </w:rPr>
        <w:t>.</w:t>
      </w:r>
    </w:p>
    <w:p w14:paraId="6EEB4EE9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Soluţiile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instanţelor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europene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(CEDO, CEJ) se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citează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întotdeauna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prin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indicarea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numelui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 xml:space="preserve"> </w:t>
      </w:r>
      <w:proofErr w:type="spellStart"/>
      <w:r w:rsidRPr="00B4683E">
        <w:rPr>
          <w:rFonts w:asciiTheme="minorHAnsi" w:eastAsia="Times New Roman" w:hAnsiTheme="minorHAnsi" w:cstheme="minorHAnsi"/>
          <w:color w:val="222222"/>
          <w:lang w:val="fr-FR"/>
        </w:rPr>
        <w:t>speţei</w:t>
      </w:r>
      <w:proofErr w:type="spellEnd"/>
      <w:r w:rsidRPr="00B4683E">
        <w:rPr>
          <w:rFonts w:asciiTheme="minorHAnsi" w:eastAsia="Times New Roman" w:hAnsiTheme="minorHAnsi" w:cstheme="minorHAnsi"/>
          <w:color w:val="222222"/>
          <w:lang w:val="fr-FR"/>
        </w:rPr>
        <w:t>.</w:t>
      </w:r>
    </w:p>
    <w:p w14:paraId="6EEB4EEA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b/>
          <w:bCs/>
          <w:color w:val="222222"/>
          <w:lang w:val="fr-FR"/>
        </w:rPr>
        <w:t>Ex.</w:t>
      </w:r>
    </w:p>
    <w:p w14:paraId="6EEB4EEB" w14:textId="77777777" w:rsidR="00B4683E" w:rsidRPr="00B4683E" w:rsidRDefault="00B4683E" w:rsidP="0012156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CEDO, </w:t>
      </w:r>
      <w:r w:rsidRPr="00B4683E">
        <w:rPr>
          <w:rFonts w:asciiTheme="minorHAnsi" w:eastAsia="Times New Roman" w:hAnsiTheme="minorHAnsi" w:cstheme="minorHAnsi"/>
          <w:i/>
          <w:iCs/>
          <w:color w:val="222222"/>
        </w:rPr>
        <w:t>Cauza Brumărescu c. România</w:t>
      </w:r>
      <w:r w:rsidRPr="00B4683E">
        <w:rPr>
          <w:rFonts w:asciiTheme="minorHAnsi" w:eastAsia="Times New Roman" w:hAnsiTheme="minorHAnsi" w:cstheme="minorHAnsi"/>
          <w:color w:val="222222"/>
        </w:rPr>
        <w:t>, …</w:t>
      </w:r>
    </w:p>
    <w:p w14:paraId="6EEB4EEC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 </w:t>
      </w:r>
    </w:p>
    <w:p w14:paraId="6EEB4EED" w14:textId="77777777" w:rsidR="00B4683E" w:rsidRPr="00B4683E" w:rsidRDefault="00B4683E" w:rsidP="0012156B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222222"/>
        </w:rPr>
      </w:pPr>
      <w:r w:rsidRPr="00B4683E">
        <w:rPr>
          <w:rFonts w:asciiTheme="minorHAnsi" w:eastAsia="Times New Roman" w:hAnsiTheme="minorHAnsi" w:cstheme="minorHAnsi"/>
          <w:color w:val="222222"/>
        </w:rPr>
        <w:t> </w:t>
      </w:r>
    </w:p>
    <w:p w14:paraId="6EEB4EEE" w14:textId="77777777" w:rsidR="00CC0C77" w:rsidRPr="0012156B" w:rsidRDefault="00CC0C77" w:rsidP="0012156B">
      <w:pPr>
        <w:spacing w:line="360" w:lineRule="auto"/>
        <w:rPr>
          <w:rFonts w:asciiTheme="minorHAnsi" w:hAnsiTheme="minorHAnsi" w:cstheme="minorHAnsi"/>
        </w:rPr>
      </w:pPr>
    </w:p>
    <w:sectPr w:rsidR="00CC0C77" w:rsidRPr="0012156B" w:rsidSect="004263DB">
      <w:headerReference w:type="default" r:id="rId8"/>
      <w:footerReference w:type="default" r:id="rId9"/>
      <w:pgSz w:w="11906" w:h="16838" w:code="9"/>
      <w:pgMar w:top="454" w:right="567" w:bottom="360" w:left="1134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B4EF1" w14:textId="77777777" w:rsidR="00266586" w:rsidRDefault="00266586" w:rsidP="0078639A">
      <w:r>
        <w:separator/>
      </w:r>
    </w:p>
  </w:endnote>
  <w:endnote w:type="continuationSeparator" w:id="0">
    <w:p w14:paraId="6EEB4EF2" w14:textId="77777777" w:rsidR="00266586" w:rsidRDefault="00266586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B4EF4" w14:textId="77777777" w:rsidR="00047A64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______________________________________________________________________________________________________</w:t>
    </w:r>
  </w:p>
  <w:p w14:paraId="6EEB4EF5" w14:textId="77777777" w:rsidR="00047A64" w:rsidRPr="00047A64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6EEB4EF6" w14:textId="77777777" w:rsidR="00047A64" w:rsidRPr="00047A64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6EEB4EF7" w14:textId="77777777" w:rsidR="0078639A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6EEB4EF8" w14:textId="77777777" w:rsidR="00047A64" w:rsidRPr="006101BC" w:rsidRDefault="006101BC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B4EEF" w14:textId="77777777" w:rsidR="00266586" w:rsidRDefault="00266586" w:rsidP="0078639A">
      <w:r>
        <w:separator/>
      </w:r>
    </w:p>
  </w:footnote>
  <w:footnote w:type="continuationSeparator" w:id="0">
    <w:p w14:paraId="6EEB4EF0" w14:textId="77777777" w:rsidR="00266586" w:rsidRDefault="00266586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B4EF3" w14:textId="77777777" w:rsidR="0078639A" w:rsidRDefault="00FE6B7C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6EEB4EF9" wp14:editId="6EEB4EFA">
          <wp:simplePos x="0" y="0"/>
          <wp:positionH relativeFrom="column">
            <wp:posOffset>-363220</wp:posOffset>
          </wp:positionH>
          <wp:positionV relativeFrom="paragraph">
            <wp:posOffset>0</wp:posOffset>
          </wp:positionV>
          <wp:extent cx="6191250" cy="1200150"/>
          <wp:effectExtent l="0" t="0" r="0" b="0"/>
          <wp:wrapTight wrapText="bothSides">
            <wp:wrapPolygon edited="0">
              <wp:start x="0" y="0"/>
              <wp:lineTo x="0" y="21257"/>
              <wp:lineTo x="21534" y="21257"/>
              <wp:lineTo x="21534" y="0"/>
              <wp:lineTo x="0" y="0"/>
            </wp:wrapPolygon>
          </wp:wrapTight>
          <wp:docPr id="3" name="Picture 1" descr="\\UNBR-SBS\GeneralShare\Documente_Gherasim\DOCUMENTE_UNBR\ANTETE\Antet_SU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BR-SBS\GeneralShare\Documente_Gherasim\DOCUMENTE_UNBR\ANTETE\Antet_SUS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FA6"/>
    <w:multiLevelType w:val="hybridMultilevel"/>
    <w:tmpl w:val="3A7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4C0"/>
    <w:multiLevelType w:val="hybridMultilevel"/>
    <w:tmpl w:val="6088A4BA"/>
    <w:lvl w:ilvl="0" w:tplc="AD1A4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48C5"/>
    <w:multiLevelType w:val="multilevel"/>
    <w:tmpl w:val="C6D6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91859"/>
    <w:multiLevelType w:val="multilevel"/>
    <w:tmpl w:val="9240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354DD5"/>
    <w:multiLevelType w:val="hybridMultilevel"/>
    <w:tmpl w:val="15B8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A6E8D"/>
    <w:multiLevelType w:val="hybridMultilevel"/>
    <w:tmpl w:val="F3EEB368"/>
    <w:lvl w:ilvl="0" w:tplc="4DC014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2274"/>
    <w:multiLevelType w:val="hybridMultilevel"/>
    <w:tmpl w:val="5F66442A"/>
    <w:lvl w:ilvl="0" w:tplc="C2AE3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626E6"/>
    <w:multiLevelType w:val="multilevel"/>
    <w:tmpl w:val="1CF2C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ED67AC"/>
    <w:multiLevelType w:val="hybridMultilevel"/>
    <w:tmpl w:val="E6668FBC"/>
    <w:lvl w:ilvl="0" w:tplc="0784A54C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CD76AF"/>
    <w:multiLevelType w:val="hybridMultilevel"/>
    <w:tmpl w:val="A00453C4"/>
    <w:lvl w:ilvl="0" w:tplc="759EA6E8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9E62EC1"/>
    <w:multiLevelType w:val="multilevel"/>
    <w:tmpl w:val="E1B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EB110F"/>
    <w:multiLevelType w:val="hybridMultilevel"/>
    <w:tmpl w:val="62443A00"/>
    <w:lvl w:ilvl="0" w:tplc="2376DCDC">
      <w:start w:val="22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39A"/>
    <w:rsid w:val="00003381"/>
    <w:rsid w:val="00030916"/>
    <w:rsid w:val="00035291"/>
    <w:rsid w:val="00047A64"/>
    <w:rsid w:val="00063053"/>
    <w:rsid w:val="00076674"/>
    <w:rsid w:val="0007736B"/>
    <w:rsid w:val="0008259F"/>
    <w:rsid w:val="000A2141"/>
    <w:rsid w:val="000A4571"/>
    <w:rsid w:val="0012156B"/>
    <w:rsid w:val="00143B81"/>
    <w:rsid w:val="0015180E"/>
    <w:rsid w:val="00165115"/>
    <w:rsid w:val="001835DD"/>
    <w:rsid w:val="00196F8B"/>
    <w:rsid w:val="001C4D2D"/>
    <w:rsid w:val="001E1290"/>
    <w:rsid w:val="00201673"/>
    <w:rsid w:val="00204D0A"/>
    <w:rsid w:val="002125A9"/>
    <w:rsid w:val="00230CAC"/>
    <w:rsid w:val="00236874"/>
    <w:rsid w:val="00256680"/>
    <w:rsid w:val="00266586"/>
    <w:rsid w:val="00277ABD"/>
    <w:rsid w:val="002917A1"/>
    <w:rsid w:val="002B1F9B"/>
    <w:rsid w:val="002D2D0B"/>
    <w:rsid w:val="002D2E3C"/>
    <w:rsid w:val="002D4F90"/>
    <w:rsid w:val="002F1109"/>
    <w:rsid w:val="003426FA"/>
    <w:rsid w:val="00342B0B"/>
    <w:rsid w:val="00353AEB"/>
    <w:rsid w:val="003D445D"/>
    <w:rsid w:val="004263DB"/>
    <w:rsid w:val="00454A0F"/>
    <w:rsid w:val="004958B5"/>
    <w:rsid w:val="004A3A17"/>
    <w:rsid w:val="004B0114"/>
    <w:rsid w:val="004B4EE9"/>
    <w:rsid w:val="004F076E"/>
    <w:rsid w:val="005723B1"/>
    <w:rsid w:val="006101BC"/>
    <w:rsid w:val="00621A58"/>
    <w:rsid w:val="00624227"/>
    <w:rsid w:val="006947EB"/>
    <w:rsid w:val="006C1980"/>
    <w:rsid w:val="007218E6"/>
    <w:rsid w:val="00733B45"/>
    <w:rsid w:val="00752A7B"/>
    <w:rsid w:val="0078639A"/>
    <w:rsid w:val="007A477A"/>
    <w:rsid w:val="007C15BA"/>
    <w:rsid w:val="007D1743"/>
    <w:rsid w:val="00806710"/>
    <w:rsid w:val="00824452"/>
    <w:rsid w:val="008439AA"/>
    <w:rsid w:val="008A1BD2"/>
    <w:rsid w:val="008F6D06"/>
    <w:rsid w:val="00904CFB"/>
    <w:rsid w:val="0097380A"/>
    <w:rsid w:val="00985B5E"/>
    <w:rsid w:val="00993DC2"/>
    <w:rsid w:val="00993FFC"/>
    <w:rsid w:val="009A4ED8"/>
    <w:rsid w:val="009B51A6"/>
    <w:rsid w:val="009D5767"/>
    <w:rsid w:val="00A02672"/>
    <w:rsid w:val="00A074E6"/>
    <w:rsid w:val="00A10D78"/>
    <w:rsid w:val="00A439D6"/>
    <w:rsid w:val="00A46726"/>
    <w:rsid w:val="00A90332"/>
    <w:rsid w:val="00AA7421"/>
    <w:rsid w:val="00AD0024"/>
    <w:rsid w:val="00B4683E"/>
    <w:rsid w:val="00B71F38"/>
    <w:rsid w:val="00B850AC"/>
    <w:rsid w:val="00B85FB2"/>
    <w:rsid w:val="00BC1CD5"/>
    <w:rsid w:val="00BE3CE8"/>
    <w:rsid w:val="00C07F79"/>
    <w:rsid w:val="00C3042D"/>
    <w:rsid w:val="00CC0C77"/>
    <w:rsid w:val="00CC7611"/>
    <w:rsid w:val="00CD2127"/>
    <w:rsid w:val="00CF4B41"/>
    <w:rsid w:val="00D30ECF"/>
    <w:rsid w:val="00D37C72"/>
    <w:rsid w:val="00D47470"/>
    <w:rsid w:val="00D55256"/>
    <w:rsid w:val="00D74C27"/>
    <w:rsid w:val="00DA065E"/>
    <w:rsid w:val="00E01FF2"/>
    <w:rsid w:val="00E04042"/>
    <w:rsid w:val="00E368E3"/>
    <w:rsid w:val="00E6304B"/>
    <w:rsid w:val="00E738AE"/>
    <w:rsid w:val="00E73F42"/>
    <w:rsid w:val="00E94EEF"/>
    <w:rsid w:val="00EC0602"/>
    <w:rsid w:val="00F325B0"/>
    <w:rsid w:val="00F72398"/>
    <w:rsid w:val="00F85E77"/>
    <w:rsid w:val="00FA26E8"/>
    <w:rsid w:val="00FB37D7"/>
    <w:rsid w:val="00FE6B7C"/>
    <w:rsid w:val="00FF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B4E24"/>
  <w15:docId w15:val="{DC3297DE-F8DB-434B-9160-B2CE145F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4EE9"/>
    <w:rPr>
      <w:rFonts w:ascii="Calibri" w:hAnsi="Calibri" w:cs="Calibri"/>
      <w:sz w:val="22"/>
      <w:szCs w:val="22"/>
      <w:lang w:val="en-GB" w:eastAsia="en-GB"/>
    </w:rPr>
  </w:style>
  <w:style w:type="character" w:customStyle="1" w:styleId="PlainTextChar">
    <w:name w:val="Plain Text Char"/>
    <w:link w:val="PlainText"/>
    <w:uiPriority w:val="99"/>
    <w:rsid w:val="004B4EE9"/>
    <w:rPr>
      <w:rFonts w:ascii="Calibr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063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1C4D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8AE"/>
    <w:rPr>
      <w:color w:val="605E5C"/>
      <w:shd w:val="clear" w:color="auto" w:fill="E1DFDD"/>
    </w:rPr>
  </w:style>
  <w:style w:type="paragraph" w:customStyle="1" w:styleId="m1769030285541528msolistparagraph">
    <w:name w:val="m_1769030285541528msolistparagraph"/>
    <w:basedOn w:val="Normal"/>
    <w:rsid w:val="00B4683E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m1769030285541528msohyperlink">
    <w:name w:val="m_1769030285541528msohyperlink"/>
    <w:basedOn w:val="DefaultParagraphFont"/>
    <w:rsid w:val="00B4683E"/>
  </w:style>
  <w:style w:type="paragraph" w:customStyle="1" w:styleId="m1769030285541528msobodytextindent2">
    <w:name w:val="m_1769030285541528msobodytextindent2"/>
    <w:basedOn w:val="Normal"/>
    <w:rsid w:val="00B4683E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m1769030285541528msobodytext">
    <w:name w:val="m_1769030285541528msobodytext"/>
    <w:basedOn w:val="Normal"/>
    <w:rsid w:val="00B4683E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971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8342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611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989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5381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34217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6602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7420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78776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21261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2242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701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7203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56063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8960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2103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3776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4930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2624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0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79333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43605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3184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D0FED-1736-4A66-B8B1-DCDC1CB2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1658</Words>
  <Characters>9623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11259</CharactersWithSpaces>
  <SharedDoc>false</SharedDoc>
  <HLinks>
    <vt:vector size="6" baseType="variant"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http://www.ifep.ro/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Gh.</dc:creator>
  <cp:keywords/>
  <cp:lastModifiedBy>Sandu Gherasim</cp:lastModifiedBy>
  <cp:revision>7</cp:revision>
  <cp:lastPrinted>2020-07-22T14:07:00Z</cp:lastPrinted>
  <dcterms:created xsi:type="dcterms:W3CDTF">2020-07-22T14:05:00Z</dcterms:created>
  <dcterms:modified xsi:type="dcterms:W3CDTF">2020-07-22T14:08:00Z</dcterms:modified>
</cp:coreProperties>
</file>