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016DA" w14:textId="0E43F1A8" w:rsidR="002D0712" w:rsidRDefault="002D0712" w:rsidP="002D0712">
      <w:pPr>
        <w:pStyle w:val="NormalWeb"/>
        <w:jc w:val="center"/>
        <w:rPr>
          <w:rStyle w:val="Strong"/>
        </w:rPr>
      </w:pPr>
      <w:r>
        <w:rPr>
          <w:rStyle w:val="Strong"/>
        </w:rPr>
        <w:t>Pensiile avocaților în România și în alte țări UE</w:t>
      </w:r>
    </w:p>
    <w:p w14:paraId="144179F6" w14:textId="77777777" w:rsidR="00292163" w:rsidRDefault="00292163" w:rsidP="00292163">
      <w:pPr>
        <w:spacing w:after="0" w:line="240" w:lineRule="auto"/>
        <w:jc w:val="right"/>
        <w:rPr>
          <w:rFonts w:cs="Calibri"/>
          <w:i/>
          <w:iCs/>
          <w:lang w:eastAsia="ro-RO"/>
        </w:rPr>
      </w:pPr>
    </w:p>
    <w:p w14:paraId="66523597" w14:textId="716A40B6" w:rsidR="00292163" w:rsidRPr="00292163" w:rsidRDefault="00292163" w:rsidP="00292163">
      <w:pPr>
        <w:spacing w:after="0" w:line="240" w:lineRule="auto"/>
        <w:jc w:val="right"/>
        <w:rPr>
          <w:rFonts w:cs="Calibri"/>
          <w:lang w:eastAsia="ro-RO"/>
        </w:rPr>
      </w:pPr>
      <w:r w:rsidRPr="00292163">
        <w:rPr>
          <w:rFonts w:cs="Calibri"/>
          <w:i/>
          <w:iCs/>
          <w:lang w:eastAsia="ro-RO"/>
        </w:rPr>
        <w:t xml:space="preserve">Autor: Prof. </w:t>
      </w:r>
      <w:proofErr w:type="spellStart"/>
      <w:r w:rsidRPr="00292163">
        <w:rPr>
          <w:rFonts w:cs="Calibri"/>
          <w:i/>
          <w:iCs/>
          <w:lang w:eastAsia="ro-RO"/>
        </w:rPr>
        <w:t>univ.dr.av</w:t>
      </w:r>
      <w:proofErr w:type="spellEnd"/>
      <w:r w:rsidRPr="00292163">
        <w:rPr>
          <w:rFonts w:cs="Calibri"/>
          <w:i/>
          <w:iCs/>
          <w:lang w:eastAsia="ro-RO"/>
        </w:rPr>
        <w:t>. Ion Turculeanu</w:t>
      </w:r>
    </w:p>
    <w:p w14:paraId="7ADEC535" w14:textId="77777777" w:rsidR="00292163" w:rsidRPr="00292163" w:rsidRDefault="00292163" w:rsidP="00292163">
      <w:pPr>
        <w:spacing w:after="0" w:line="240" w:lineRule="auto"/>
        <w:jc w:val="right"/>
        <w:rPr>
          <w:rFonts w:cs="Calibri"/>
          <w:lang w:eastAsia="ro-RO"/>
        </w:rPr>
      </w:pPr>
      <w:r w:rsidRPr="00292163">
        <w:rPr>
          <w:rFonts w:cs="Calibri"/>
          <w:i/>
          <w:iCs/>
          <w:lang w:eastAsia="ro-RO"/>
        </w:rPr>
        <w:t>Vicepreședinte UNBR</w:t>
      </w:r>
    </w:p>
    <w:p w14:paraId="4F407CE9" w14:textId="77777777" w:rsidR="00292163" w:rsidRPr="00292163" w:rsidRDefault="00292163" w:rsidP="00292163">
      <w:pPr>
        <w:spacing w:after="0" w:line="240" w:lineRule="auto"/>
        <w:jc w:val="right"/>
        <w:rPr>
          <w:rFonts w:cs="Calibri"/>
          <w:lang w:eastAsia="ro-RO"/>
        </w:rPr>
      </w:pPr>
      <w:r w:rsidRPr="00292163">
        <w:rPr>
          <w:rFonts w:cs="Calibri"/>
          <w:i/>
          <w:iCs/>
          <w:lang w:eastAsia="ro-RO"/>
        </w:rPr>
        <w:t>Membru în Comisia Permanentă a UNBR</w:t>
      </w:r>
    </w:p>
    <w:p w14:paraId="0F097015" w14:textId="31148D54" w:rsidR="002D0712" w:rsidRPr="00292163" w:rsidRDefault="00292163" w:rsidP="00292163">
      <w:pPr>
        <w:spacing w:after="0" w:line="240" w:lineRule="auto"/>
        <w:jc w:val="right"/>
        <w:rPr>
          <w:rFonts w:cs="Calibri"/>
          <w:lang w:eastAsia="ro-RO"/>
        </w:rPr>
      </w:pPr>
      <w:r w:rsidRPr="00292163">
        <w:rPr>
          <w:rFonts w:cs="Calibri"/>
          <w:i/>
          <w:iCs/>
          <w:lang w:eastAsia="ro-RO"/>
        </w:rPr>
        <w:t>Fost decan al Baroului Dolj</w:t>
      </w:r>
    </w:p>
    <w:p w14:paraId="5B430D0A" w14:textId="77777777" w:rsidR="00292163" w:rsidRDefault="00292163" w:rsidP="002D0712">
      <w:pPr>
        <w:pStyle w:val="NormalWeb"/>
      </w:pPr>
    </w:p>
    <w:p w14:paraId="781D82A8" w14:textId="2EF07EF3" w:rsidR="002D0712" w:rsidRDefault="002D0712" w:rsidP="002D0712">
      <w:pPr>
        <w:pStyle w:val="NormalWeb"/>
      </w:pPr>
      <w:r>
        <w:t>Sistemul de asigurări sociale ale avocaților există în foarte multe țări europene. Fiecare are o reglementare specifică, determinată în special de tradiția și evoluția profesiei de avocat în țara respectivă. În principiu, obiectul de activitate este același: acordarea pensiilor, a altor drepturi de asigurări sociale și a asistenței sociale excepționale.</w:t>
      </w:r>
    </w:p>
    <w:p w14:paraId="1F2A6D9B" w14:textId="77777777" w:rsidR="002D0712" w:rsidRDefault="002D0712" w:rsidP="002D0712">
      <w:pPr>
        <w:pStyle w:val="NormalWeb"/>
      </w:pPr>
      <w:r>
        <w:t>Spre deosebire de reglementarea din Legea 72/2016, majoritatea reglementărilor europene în domeniu pleacă de la principiile economiei de piață, ținând cont de caracterul liberal al profesiei. În acest sens, în țările europene cu o economie de piață neîntreruptă, profesiile liberale au propriile lor case de pensii, separat sau reunite într-una singură.</w:t>
      </w:r>
    </w:p>
    <w:p w14:paraId="39BB8F7A" w14:textId="77777777" w:rsidR="002D0712" w:rsidRDefault="002D0712" w:rsidP="002D0712">
      <w:pPr>
        <w:pStyle w:val="NormalWeb"/>
      </w:pPr>
      <w:r>
        <w:t>Am apreciat că legislația italiană în materie poate fi luată ca exemplu în perfecționarea legislației noastre privind pensiile avocaților.</w:t>
      </w:r>
    </w:p>
    <w:p w14:paraId="6B7C0FB0" w14:textId="77777777" w:rsidR="002D0712" w:rsidRDefault="002D0712" w:rsidP="002D0712">
      <w:pPr>
        <w:pStyle w:val="NormalWeb"/>
      </w:pPr>
      <w:r>
        <w:t xml:space="preserve">Aceasta prevede trei tipuri de contribuții care se plătesc la Casa </w:t>
      </w:r>
      <w:proofErr w:type="spellStart"/>
      <w:r>
        <w:t>Forensse</w:t>
      </w:r>
      <w:proofErr w:type="spellEnd"/>
      <w:r>
        <w:t>:</w:t>
      </w:r>
    </w:p>
    <w:p w14:paraId="1172C103" w14:textId="77777777" w:rsidR="002D0712" w:rsidRDefault="002D0712" w:rsidP="002D0712">
      <w:pPr>
        <w:pStyle w:val="NormalWeb"/>
      </w:pPr>
      <w:r>
        <w:t>Prima contribuție este cea din care se realizează dreptul la pensie personală și reprezintă 14% din venitul anual, până la suma de 98.000 Euro pe an, dar nu mai puțin de 2.700 Euro pe an. Avocații cu venituri mari plătesc 3% din venitul impozabil care depășește 98.000 Euro pe an, contribuție care este dedicată ameliorării pensiilor foarte mici.</w:t>
      </w:r>
    </w:p>
    <w:p w14:paraId="7A633D1E" w14:textId="77777777" w:rsidR="002D0712" w:rsidRDefault="002D0712" w:rsidP="002D0712">
      <w:pPr>
        <w:pStyle w:val="NormalWeb"/>
      </w:pPr>
      <w:r>
        <w:t>Pentru pensia complementară avocații plătesc o contribuție de până la 10% din venitul realizat.</w:t>
      </w:r>
    </w:p>
    <w:p w14:paraId="4C2CAE78" w14:textId="77777777" w:rsidR="002D0712" w:rsidRDefault="002D0712" w:rsidP="002D0712">
      <w:pPr>
        <w:pStyle w:val="NormalWeb"/>
      </w:pPr>
      <w:r>
        <w:t>Cu alte cuvinte, un avocat italian poate plăti cu titlu de contribuții la pensii 24% din veniturile anuale la care se adaugă cei 3% pentru veniturile care depășesc 98.000 Euro.</w:t>
      </w:r>
    </w:p>
    <w:p w14:paraId="692E141F" w14:textId="77777777" w:rsidR="002D0712" w:rsidRDefault="002D0712" w:rsidP="002D0712">
      <w:pPr>
        <w:pStyle w:val="NormalWeb"/>
      </w:pPr>
      <w:r>
        <w:t>De asemenea, toți avocații plătesc o taxă fixă de 120 Euro pe an din care se plătesc concediile de maternitate.</w:t>
      </w:r>
    </w:p>
    <w:p w14:paraId="27C6E3FF" w14:textId="77777777" w:rsidR="002D0712" w:rsidRDefault="002D0712" w:rsidP="002D0712">
      <w:pPr>
        <w:pStyle w:val="NormalWeb"/>
      </w:pPr>
      <w:r>
        <w:t>În sfârșit, mai există o contribuție de 4% din valoarea onorariului și care alimentează fondul pentru celelalte drepturi de asigurări sociale.</w:t>
      </w:r>
    </w:p>
    <w:p w14:paraId="14257559" w14:textId="77777777" w:rsidR="002D0712" w:rsidRDefault="002D0712" w:rsidP="002D0712">
      <w:pPr>
        <w:pStyle w:val="NormalWeb"/>
      </w:pPr>
      <w:r>
        <w:t>De remarcat că există un plan de investiții anual, dar și unul mai lung, pe termen de trei ani, legislația având o filosofie de prudențialitate dându-se prioritate criteriului de investire unde riscul este minor. În ceea ce privește investițiile există mai multe comitete care propun și avizează proiectele de investiții și care sunt adoptate de Consiliul Național.</w:t>
      </w:r>
    </w:p>
    <w:p w14:paraId="7C138449" w14:textId="77777777" w:rsidR="002D0712" w:rsidRDefault="002D0712" w:rsidP="002D0712">
      <w:pPr>
        <w:pStyle w:val="NormalWeb"/>
      </w:pPr>
      <w:r>
        <w:t xml:space="preserve">Casa </w:t>
      </w:r>
      <w:proofErr w:type="spellStart"/>
      <w:r>
        <w:t>Forensse</w:t>
      </w:r>
      <w:proofErr w:type="spellEnd"/>
      <w:r>
        <w:t xml:space="preserve"> acordă măsuri variate de sprijin, care pot include de exemplu bonus pentru grădiniță acordat părinților avocați.</w:t>
      </w:r>
    </w:p>
    <w:p w14:paraId="13C6E420" w14:textId="77777777" w:rsidR="002D0712" w:rsidRDefault="002D0712" w:rsidP="002D0712">
      <w:pPr>
        <w:pStyle w:val="NormalWeb"/>
      </w:pPr>
      <w:r>
        <w:t xml:space="preserve">De remarcat faptul că în Italia Casa </w:t>
      </w:r>
      <w:proofErr w:type="spellStart"/>
      <w:r>
        <w:t>Forensse</w:t>
      </w:r>
      <w:proofErr w:type="spellEnd"/>
      <w:r>
        <w:t xml:space="preserve"> nu are structuri locale ( așa cum există la noi filialele românești), ci numai birouri locale care informează avocații. Contribuțiile datorate se fac prin mijloace electronice direct către Casa </w:t>
      </w:r>
      <w:proofErr w:type="spellStart"/>
      <w:r>
        <w:t>Forensse</w:t>
      </w:r>
      <w:proofErr w:type="spellEnd"/>
      <w:r>
        <w:t>.</w:t>
      </w:r>
    </w:p>
    <w:p w14:paraId="502A5FFD" w14:textId="77777777" w:rsidR="002D0712" w:rsidRDefault="002D0712" w:rsidP="002D0712">
      <w:pPr>
        <w:pStyle w:val="NormalWeb"/>
      </w:pPr>
      <w:r>
        <w:lastRenderedPageBreak/>
        <w:t xml:space="preserve">Alt exemplu este </w:t>
      </w:r>
      <w:r>
        <w:rPr>
          <w:rStyle w:val="Strong"/>
        </w:rPr>
        <w:t>Casa de Pensii a Avocaților Francezi</w:t>
      </w:r>
      <w:r>
        <w:t>.</w:t>
      </w:r>
    </w:p>
    <w:p w14:paraId="04B147E1" w14:textId="77777777" w:rsidR="002D0712" w:rsidRDefault="002D0712" w:rsidP="002D0712">
      <w:pPr>
        <w:pStyle w:val="NormalWeb"/>
      </w:pPr>
      <w:r>
        <w:t>CNBF a fost creată în 1948 ca parte integrantă a Casei Naționale a Profesiilor Liberale. Din 1954 este un organism independent.</w:t>
      </w:r>
    </w:p>
    <w:p w14:paraId="201F237C" w14:textId="77777777" w:rsidR="002D0712" w:rsidRDefault="002D0712" w:rsidP="002D0712">
      <w:pPr>
        <w:pStyle w:val="NormalWeb"/>
      </w:pPr>
      <w:r>
        <w:t>Casa de pensii a avocaților are un regim de bază și unul complementar.</w:t>
      </w:r>
    </w:p>
    <w:p w14:paraId="65A10DFB" w14:textId="77777777" w:rsidR="002D0712" w:rsidRDefault="002D0712" w:rsidP="002D0712">
      <w:pPr>
        <w:pStyle w:val="NormalWeb"/>
      </w:pPr>
      <w:r>
        <w:rPr>
          <w:rStyle w:val="Strong"/>
        </w:rPr>
        <w:t>Regimul de bază presupune o cotizație sub trei forme</w:t>
      </w:r>
      <w:r>
        <w:t>:</w:t>
      </w:r>
    </w:p>
    <w:p w14:paraId="6EA25064" w14:textId="77777777" w:rsidR="002D0712" w:rsidRDefault="002D0712" w:rsidP="002D0712">
      <w:pPr>
        <w:pStyle w:val="NormalWeb"/>
      </w:pPr>
      <w:r>
        <w:t>• Drepturile de pledoarie sau contribuție echivalentă;</w:t>
      </w:r>
      <w:r>
        <w:br/>
        <w:t>• O cotizație forfetară care se plătește diferit în primii 5 ani de activitate. De exemplu: pentru anul 2019 – primul an de activitate 284 Euro; al doilea an - 570 Euro; al treilea an - 894 Euro; anul patru și anul cinci - 1218 Euro și începând cu anul șase - 1555 Euro;</w:t>
      </w:r>
      <w:r>
        <w:br/>
        <w:t>• O cotizație de 3,1 % din venitul profesional aferent penultimului an.</w:t>
      </w:r>
    </w:p>
    <w:p w14:paraId="63F2EFFB" w14:textId="77777777" w:rsidR="002D0712" w:rsidRDefault="002D0712" w:rsidP="002D0712">
      <w:pPr>
        <w:pStyle w:val="NormalWeb"/>
      </w:pPr>
      <w:r>
        <w:t>O particularitate de remarcat a sistemului este faptul că pensia de bază nu se calculează în funcție de venitul de referință ca în cazul celorlalte regimuri independente.</w:t>
      </w:r>
    </w:p>
    <w:p w14:paraId="79ED607F" w14:textId="77777777" w:rsidR="002D0712" w:rsidRDefault="002D0712" w:rsidP="002D0712">
      <w:pPr>
        <w:pStyle w:val="NormalWeb"/>
      </w:pPr>
      <w:r>
        <w:t>În afară de pensia de bază legea franceză reglementează și regimul complementar obligatoriu. Acesta din urmă a fost reformat la 1 Ianuarie 2015. Practic, transformă cele trei clase de cotizații în puncte. Clasele de contribuții se diferențiază în funcție de venitul avocaților. Cea mai mică contribuție este de 3,8% în cazul celui mai mic venit, iar cea mai mare contribuție raportată la cel mai mare venit este de 17,9%. De la 1 Ianuarie 2015 până în 2029 regimul complementar este într-o fază tranzitorie de 14 ani care va duce la transformarea claselor de contribuții într-una singură.</w:t>
      </w:r>
    </w:p>
    <w:p w14:paraId="229BF30E" w14:textId="77777777" w:rsidR="002D0712" w:rsidRDefault="002D0712" w:rsidP="002D0712">
      <w:pPr>
        <w:pStyle w:val="NormalWeb"/>
      </w:pPr>
      <w:r>
        <w:t>Deși legislația românească a fost inspirată de dreptul francez și italian, ceea ce a generat o anumită compatibilitate legislativă, în privința reglementărilor sistemului de pensii, lucrurile stau sunt diferit.</w:t>
      </w:r>
    </w:p>
    <w:p w14:paraId="53C830EF" w14:textId="77777777" w:rsidR="002D0712" w:rsidRDefault="002D0712" w:rsidP="002D0712">
      <w:pPr>
        <w:pStyle w:val="NormalWeb"/>
      </w:pPr>
      <w:r>
        <w:t>În continuare vă expun câteva caracteristici ale reglementărilor în materia pensiilor avocaților în țările UE.</w:t>
      </w:r>
    </w:p>
    <w:p w14:paraId="420A1A4A" w14:textId="77777777" w:rsidR="002D0712" w:rsidRDefault="002D0712" w:rsidP="002D0712">
      <w:pPr>
        <w:pStyle w:val="NormalWeb"/>
      </w:pPr>
      <w:r>
        <w:rPr>
          <w:rStyle w:val="Strong"/>
        </w:rPr>
        <w:t>Țări în care există sisteme de asigurări sociale ale avocaților :</w:t>
      </w:r>
    </w:p>
    <w:p w14:paraId="189F5E14" w14:textId="77777777" w:rsidR="002D0712" w:rsidRDefault="002D0712" w:rsidP="002D0712">
      <w:pPr>
        <w:pStyle w:val="NormalWeb"/>
      </w:pPr>
      <w:r>
        <w:t>Germania, Austria,  Belgia, Cipru, Franța, Italia, Grecia, Polonia, Portugalia, România.</w:t>
      </w:r>
    </w:p>
    <w:p w14:paraId="34E8ECE6" w14:textId="77777777" w:rsidR="002D0712" w:rsidRDefault="002D0712" w:rsidP="002D0712">
      <w:pPr>
        <w:pStyle w:val="NormalWeb"/>
      </w:pPr>
      <w:r>
        <w:t> </w:t>
      </w:r>
    </w:p>
    <w:p w14:paraId="66D4FFE8" w14:textId="77777777" w:rsidR="002D0712" w:rsidRDefault="002D0712" w:rsidP="002D0712">
      <w:pPr>
        <w:pStyle w:val="NormalWeb"/>
      </w:pPr>
      <w:r>
        <w:rPr>
          <w:rStyle w:val="Strong"/>
        </w:rPr>
        <w:t>Germania</w:t>
      </w:r>
    </w:p>
    <w:p w14:paraId="146A44A5" w14:textId="77777777" w:rsidR="002D0712" w:rsidRDefault="002D0712" w:rsidP="002D0712">
      <w:pPr>
        <w:pStyle w:val="NormalWeb"/>
      </w:pPr>
      <w:r>
        <w:t>În Germania nu există un sistem centralizat de asigurări sociale și de sănătate al avocaților. Casele de asigurări sunt înființate și organizate prin legi adoptate de fiecare land, excepție făcând landul Saxonia Palatinat, în care un astfel de sistem încă nu există.</w:t>
      </w:r>
    </w:p>
    <w:p w14:paraId="4BD82DDB" w14:textId="77777777" w:rsidR="002D0712" w:rsidRDefault="002D0712" w:rsidP="002D0712">
      <w:pPr>
        <w:pStyle w:val="NormalWeb"/>
      </w:pPr>
      <w:r>
        <w:t>Casele de asigurări ale avocaților sunt persoane juridice de drept public, înființate prin legi speciale adoptate la nivel de land. Ele beneficiază de independență în raporturile lor cu Camerele de Avocați, având însă obligația de a comunica cu acestea și de a se informa reciproc. Toți avocații sunt obligați să se înscrie în aceste sisteme și să contribuie la bugetul acestora.</w:t>
      </w:r>
    </w:p>
    <w:p w14:paraId="3F640213" w14:textId="77777777" w:rsidR="002D0712" w:rsidRDefault="002D0712" w:rsidP="002D0712">
      <w:pPr>
        <w:pStyle w:val="NormalWeb"/>
      </w:pPr>
      <w:r>
        <w:t>Prestațiile oferite constau în pensii pentru limită de vârstă, pensii de invaliditate, pensii de urmaș, alocații pentru copii, indemnizații în caz de deces, subsidii pentru tratamente medicale oneroase.</w:t>
      </w:r>
    </w:p>
    <w:p w14:paraId="7AB072BB" w14:textId="77777777" w:rsidR="002D0712" w:rsidRDefault="002D0712" w:rsidP="002D0712">
      <w:pPr>
        <w:pStyle w:val="NormalWeb"/>
      </w:pPr>
      <w:r>
        <w:t> </w:t>
      </w:r>
    </w:p>
    <w:p w14:paraId="5E2E7C59" w14:textId="77777777" w:rsidR="002D0712" w:rsidRDefault="002D0712" w:rsidP="002D0712">
      <w:pPr>
        <w:pStyle w:val="NormalWeb"/>
      </w:pPr>
      <w:r>
        <w:rPr>
          <w:rStyle w:val="Strong"/>
        </w:rPr>
        <w:lastRenderedPageBreak/>
        <w:t>Austria</w:t>
      </w:r>
    </w:p>
    <w:p w14:paraId="38654B75" w14:textId="77777777" w:rsidR="002D0712" w:rsidRDefault="002D0712" w:rsidP="002D0712">
      <w:pPr>
        <w:pStyle w:val="NormalWeb"/>
      </w:pPr>
      <w:r>
        <w:t>Există două sisteme ale caselor de asigurări sociale, Partea 1 și Partea 2. Orice avocat trebuie să se înscrie în cadrul celor două case de asigurări. Adeziunea și, pe cale de consecință, plata cotizațiilor sunt obligatorii pentru orice avocat fiind vorba de Partea 1 și de manieră generală pentru Partea 2 (în afara cererii de reducere a cotizațiilor în cazul unui venit anual inferior celui de 36.000 Euro sau în cazul unei cereri de scutire în cazul unei obligații de contribuire la un alt sistem decât Partea 1).</w:t>
      </w:r>
    </w:p>
    <w:p w14:paraId="210C9B47" w14:textId="77777777" w:rsidR="002D0712" w:rsidRDefault="002D0712" w:rsidP="002D0712">
      <w:pPr>
        <w:pStyle w:val="NormalWeb"/>
      </w:pPr>
      <w:r>
        <w:t>Prestații oferite :</w:t>
      </w:r>
    </w:p>
    <w:p w14:paraId="7BADA91D" w14:textId="77777777" w:rsidR="002D0712" w:rsidRDefault="002D0712" w:rsidP="002D0712">
      <w:pPr>
        <w:pStyle w:val="NormalWeb"/>
      </w:pPr>
      <w:r>
        <w:t>Partea 1</w:t>
      </w:r>
    </w:p>
    <w:p w14:paraId="503DB1D3" w14:textId="77777777" w:rsidR="002D0712" w:rsidRDefault="002D0712" w:rsidP="002D0712">
      <w:pPr>
        <w:pStyle w:val="NormalWeb"/>
      </w:pPr>
      <w:r>
        <w:t>• pensii</w:t>
      </w:r>
      <w:r>
        <w:br/>
        <w:t>• alocații de invaliditate</w:t>
      </w:r>
      <w:r>
        <w:br/>
        <w:t>• alocații în caz de deces (pentru văduve și copii orfani)</w:t>
      </w:r>
    </w:p>
    <w:p w14:paraId="69DBC1E5" w14:textId="77777777" w:rsidR="002D0712" w:rsidRDefault="002D0712" w:rsidP="002D0712">
      <w:pPr>
        <w:pStyle w:val="NormalWeb"/>
      </w:pPr>
      <w:r>
        <w:t>Partea 2 :</w:t>
      </w:r>
    </w:p>
    <w:p w14:paraId="2EAA4AA8" w14:textId="77777777" w:rsidR="002D0712" w:rsidRDefault="002D0712" w:rsidP="002D0712">
      <w:pPr>
        <w:pStyle w:val="NormalWeb"/>
      </w:pPr>
      <w:r>
        <w:t>• pensii</w:t>
      </w:r>
      <w:r>
        <w:br/>
        <w:t>• alocații de invaliditate</w:t>
      </w:r>
      <w:r>
        <w:br/>
        <w:t>• alocații în caz de deces (pentru văduve și copii orfani)</w:t>
      </w:r>
    </w:p>
    <w:p w14:paraId="55FEC80D" w14:textId="77777777" w:rsidR="002D0712" w:rsidRDefault="002D0712" w:rsidP="002D0712">
      <w:pPr>
        <w:pStyle w:val="NormalWeb"/>
      </w:pPr>
      <w:r>
        <w:t> </w:t>
      </w:r>
    </w:p>
    <w:p w14:paraId="2A4D7D54" w14:textId="77777777" w:rsidR="002D0712" w:rsidRDefault="002D0712" w:rsidP="002D0712">
      <w:pPr>
        <w:pStyle w:val="NormalWeb"/>
      </w:pPr>
      <w:r>
        <w:t>Următoarele 9 Camere ale Avocaților administrează propriile  case de asigurări sociale, după cum urmează :</w:t>
      </w:r>
    </w:p>
    <w:p w14:paraId="79CDDADA" w14:textId="77777777" w:rsidR="002D0712" w:rsidRDefault="002D0712" w:rsidP="002D0712">
      <w:pPr>
        <w:pStyle w:val="NormalWeb"/>
        <w:spacing w:before="0" w:beforeAutospacing="0" w:after="0" w:afterAutospacing="0"/>
      </w:pPr>
      <w:proofErr w:type="spellStart"/>
      <w:r>
        <w:t>Rechtsanwaltskammer</w:t>
      </w:r>
      <w:proofErr w:type="spellEnd"/>
      <w:r>
        <w:t xml:space="preserve"> </w:t>
      </w:r>
      <w:proofErr w:type="spellStart"/>
      <w:r>
        <w:t>Burgenland</w:t>
      </w:r>
      <w:proofErr w:type="spellEnd"/>
      <w:r>
        <w:t xml:space="preserve"> </w:t>
      </w:r>
      <w:proofErr w:type="spellStart"/>
      <w:r>
        <w:t>Marktstraße</w:t>
      </w:r>
      <w:proofErr w:type="spellEnd"/>
      <w:r>
        <w:t xml:space="preserve"> 3 7000 </w:t>
      </w:r>
      <w:proofErr w:type="spellStart"/>
      <w:r>
        <w:t>Eisenstadt</w:t>
      </w:r>
      <w:proofErr w:type="spellEnd"/>
      <w:r>
        <w:t>,</w:t>
      </w:r>
    </w:p>
    <w:p w14:paraId="6951C724" w14:textId="77777777" w:rsidR="002D0712" w:rsidRDefault="002D0712" w:rsidP="002D0712">
      <w:pPr>
        <w:pStyle w:val="NormalWeb"/>
        <w:spacing w:before="0" w:beforeAutospacing="0" w:after="0" w:afterAutospacing="0"/>
      </w:pPr>
      <w:proofErr w:type="spellStart"/>
      <w:r>
        <w:t>Rechtsanwaltskammer</w:t>
      </w:r>
      <w:proofErr w:type="spellEnd"/>
      <w:r>
        <w:t xml:space="preserve"> </w:t>
      </w:r>
      <w:proofErr w:type="spellStart"/>
      <w:r>
        <w:t>für</w:t>
      </w:r>
      <w:proofErr w:type="spellEnd"/>
      <w:r>
        <w:t xml:space="preserve"> </w:t>
      </w:r>
      <w:proofErr w:type="spellStart"/>
      <w:r>
        <w:t>Kärnten</w:t>
      </w:r>
      <w:proofErr w:type="spellEnd"/>
      <w:r>
        <w:t xml:space="preserve"> </w:t>
      </w:r>
      <w:proofErr w:type="spellStart"/>
      <w:r>
        <w:t>Theatergasse</w:t>
      </w:r>
      <w:proofErr w:type="spellEnd"/>
      <w:r>
        <w:t xml:space="preserve"> 4/I 9020 Klagenfurt</w:t>
      </w:r>
    </w:p>
    <w:p w14:paraId="0151AA4A" w14:textId="77777777" w:rsidR="002D0712" w:rsidRDefault="002D0712" w:rsidP="002D0712">
      <w:pPr>
        <w:pStyle w:val="NormalWeb"/>
        <w:spacing w:before="0" w:beforeAutospacing="0" w:after="0" w:afterAutospacing="0"/>
      </w:pPr>
      <w:proofErr w:type="spellStart"/>
      <w:r>
        <w:t>Rechtsanwaltskammer</w:t>
      </w:r>
      <w:proofErr w:type="spellEnd"/>
      <w:r>
        <w:t xml:space="preserve"> </w:t>
      </w:r>
      <w:proofErr w:type="spellStart"/>
      <w:r>
        <w:t>Niederösterreich</w:t>
      </w:r>
      <w:proofErr w:type="spellEnd"/>
      <w:r>
        <w:t xml:space="preserve"> Andreas-Hofer-</w:t>
      </w:r>
      <w:proofErr w:type="spellStart"/>
      <w:r>
        <w:t>Straße</w:t>
      </w:r>
      <w:proofErr w:type="spellEnd"/>
      <w:r>
        <w:t xml:space="preserve"> 6 3100 St. </w:t>
      </w:r>
      <w:proofErr w:type="spellStart"/>
      <w:r>
        <w:t>Pölten</w:t>
      </w:r>
      <w:proofErr w:type="spellEnd"/>
    </w:p>
    <w:p w14:paraId="34FE962D" w14:textId="77777777" w:rsidR="002D0712" w:rsidRDefault="002D0712" w:rsidP="002D0712">
      <w:pPr>
        <w:pStyle w:val="NormalWeb"/>
        <w:spacing w:before="0" w:beforeAutospacing="0" w:after="0" w:afterAutospacing="0"/>
      </w:pPr>
      <w:proofErr w:type="spellStart"/>
      <w:r>
        <w:t>Rechtsanwaltskammer</w:t>
      </w:r>
      <w:proofErr w:type="spellEnd"/>
      <w:r>
        <w:t xml:space="preserve"> </w:t>
      </w:r>
      <w:proofErr w:type="spellStart"/>
      <w:r>
        <w:t>Oberösterreich</w:t>
      </w:r>
      <w:proofErr w:type="spellEnd"/>
      <w:r>
        <w:t xml:space="preserve"> </w:t>
      </w:r>
      <w:proofErr w:type="spellStart"/>
      <w:r>
        <w:t>Museumstrasse</w:t>
      </w:r>
      <w:proofErr w:type="spellEnd"/>
      <w:r>
        <w:t xml:space="preserve"> 25 / </w:t>
      </w:r>
      <w:proofErr w:type="spellStart"/>
      <w:r>
        <w:t>Quergasse</w:t>
      </w:r>
      <w:proofErr w:type="spellEnd"/>
      <w:r>
        <w:t xml:space="preserve"> 4 4020 Linz</w:t>
      </w:r>
    </w:p>
    <w:p w14:paraId="25D40628" w14:textId="77777777" w:rsidR="002D0712" w:rsidRDefault="002D0712" w:rsidP="002D0712">
      <w:pPr>
        <w:pStyle w:val="NormalWeb"/>
        <w:spacing w:before="0" w:beforeAutospacing="0" w:after="0" w:afterAutospacing="0"/>
      </w:pPr>
      <w:proofErr w:type="spellStart"/>
      <w:r>
        <w:t>Salzburger</w:t>
      </w:r>
      <w:proofErr w:type="spellEnd"/>
      <w:r>
        <w:t xml:space="preserve"> </w:t>
      </w:r>
      <w:proofErr w:type="spellStart"/>
      <w:r>
        <w:t>Rechtsanwaltskammer</w:t>
      </w:r>
      <w:proofErr w:type="spellEnd"/>
      <w:r>
        <w:t xml:space="preserve"> </w:t>
      </w:r>
      <w:proofErr w:type="spellStart"/>
      <w:r>
        <w:t>Giselakai</w:t>
      </w:r>
      <w:proofErr w:type="spellEnd"/>
      <w:r>
        <w:t xml:space="preserve"> 43 5020 Salzburg</w:t>
      </w:r>
    </w:p>
    <w:p w14:paraId="51FCE849" w14:textId="77777777" w:rsidR="002D0712" w:rsidRDefault="002D0712" w:rsidP="002D0712">
      <w:pPr>
        <w:pStyle w:val="NormalWeb"/>
        <w:spacing w:before="0" w:beforeAutospacing="0" w:after="0" w:afterAutospacing="0"/>
      </w:pPr>
      <w:proofErr w:type="spellStart"/>
      <w:r>
        <w:t>Steiermärkische</w:t>
      </w:r>
      <w:proofErr w:type="spellEnd"/>
      <w:r>
        <w:t xml:space="preserve"> </w:t>
      </w:r>
      <w:proofErr w:type="spellStart"/>
      <w:r>
        <w:t>Rechtsanwaltskammer</w:t>
      </w:r>
      <w:proofErr w:type="spellEnd"/>
      <w:r>
        <w:t xml:space="preserve"> </w:t>
      </w:r>
      <w:proofErr w:type="spellStart"/>
      <w:r>
        <w:t>Salzamtsgasse</w:t>
      </w:r>
      <w:proofErr w:type="spellEnd"/>
      <w:r>
        <w:t xml:space="preserve"> 3/IV 8010 Graz</w:t>
      </w:r>
    </w:p>
    <w:p w14:paraId="6E68201B" w14:textId="77777777" w:rsidR="002D0712" w:rsidRDefault="002D0712" w:rsidP="002D0712">
      <w:pPr>
        <w:pStyle w:val="NormalWeb"/>
        <w:spacing w:before="0" w:beforeAutospacing="0" w:after="0" w:afterAutospacing="0"/>
      </w:pPr>
      <w:proofErr w:type="spellStart"/>
      <w:r>
        <w:t>Tiroler</w:t>
      </w:r>
      <w:proofErr w:type="spellEnd"/>
      <w:r>
        <w:t xml:space="preserve"> </w:t>
      </w:r>
      <w:proofErr w:type="spellStart"/>
      <w:r>
        <w:t>Rechtsanwaltskammer</w:t>
      </w:r>
      <w:proofErr w:type="spellEnd"/>
      <w:r>
        <w:t xml:space="preserve"> </w:t>
      </w:r>
      <w:proofErr w:type="spellStart"/>
      <w:r>
        <w:t>Meraner</w:t>
      </w:r>
      <w:proofErr w:type="spellEnd"/>
      <w:r>
        <w:t xml:space="preserve"> </w:t>
      </w:r>
      <w:proofErr w:type="spellStart"/>
      <w:r>
        <w:t>Straße</w:t>
      </w:r>
      <w:proofErr w:type="spellEnd"/>
      <w:r>
        <w:t xml:space="preserve"> 3/III 6020 Innsbruck </w:t>
      </w:r>
      <w:proofErr w:type="spellStart"/>
      <w:r>
        <w:t>Vorarlberger</w:t>
      </w:r>
      <w:proofErr w:type="spellEnd"/>
    </w:p>
    <w:p w14:paraId="2BA49D67" w14:textId="77777777" w:rsidR="002D0712" w:rsidRDefault="002D0712" w:rsidP="002D0712">
      <w:pPr>
        <w:pStyle w:val="NormalWeb"/>
        <w:spacing w:before="0" w:beforeAutospacing="0" w:after="0" w:afterAutospacing="0"/>
      </w:pPr>
      <w:proofErr w:type="spellStart"/>
      <w:r>
        <w:t>Rechtsanwaltskammer</w:t>
      </w:r>
      <w:proofErr w:type="spellEnd"/>
      <w:r>
        <w:t xml:space="preserve"> </w:t>
      </w:r>
      <w:proofErr w:type="spellStart"/>
      <w:r>
        <w:t>Marktplatz</w:t>
      </w:r>
      <w:proofErr w:type="spellEnd"/>
      <w:r>
        <w:t xml:space="preserve"> 11 6800 </w:t>
      </w:r>
      <w:proofErr w:type="spellStart"/>
      <w:r>
        <w:t>Feldkirch</w:t>
      </w:r>
      <w:proofErr w:type="spellEnd"/>
    </w:p>
    <w:p w14:paraId="653739FA" w14:textId="77777777" w:rsidR="002D0712" w:rsidRDefault="002D0712" w:rsidP="002D0712">
      <w:pPr>
        <w:pStyle w:val="NormalWeb"/>
        <w:spacing w:before="0" w:beforeAutospacing="0" w:after="0" w:afterAutospacing="0"/>
      </w:pPr>
      <w:proofErr w:type="spellStart"/>
      <w:r>
        <w:t>Rechtsanwaltskammer</w:t>
      </w:r>
      <w:proofErr w:type="spellEnd"/>
      <w:r>
        <w:t xml:space="preserve"> in Wien </w:t>
      </w:r>
      <w:proofErr w:type="spellStart"/>
      <w:r>
        <w:t>Rotenturmstraße</w:t>
      </w:r>
      <w:proofErr w:type="spellEnd"/>
      <w:r>
        <w:t xml:space="preserve"> 13 1010 Wien</w:t>
      </w:r>
    </w:p>
    <w:p w14:paraId="12B8298E" w14:textId="77777777" w:rsidR="002D0712" w:rsidRDefault="002D0712" w:rsidP="002D0712">
      <w:pPr>
        <w:pStyle w:val="NormalWeb"/>
      </w:pPr>
      <w:r>
        <w:t> </w:t>
      </w:r>
    </w:p>
    <w:p w14:paraId="3E1ED81F" w14:textId="77777777" w:rsidR="002D0712" w:rsidRDefault="002D0712" w:rsidP="002D0712">
      <w:pPr>
        <w:pStyle w:val="NormalWeb"/>
      </w:pPr>
      <w:r>
        <w:rPr>
          <w:rStyle w:val="Strong"/>
        </w:rPr>
        <w:t>Belgia</w:t>
      </w:r>
    </w:p>
    <w:p w14:paraId="4055E531" w14:textId="77777777" w:rsidR="002D0712" w:rsidRDefault="002D0712" w:rsidP="002D0712">
      <w:pPr>
        <w:pStyle w:val="NormalWeb"/>
      </w:pPr>
      <w:r>
        <w:t>Avocatul are obligația de a se înscrie, la alegerea sa, în cadrul unui fond de asigurări sociale pentru profesioniști independenți. El va trebui, de asemenea, să adere, la alegerea sa, la un fond de asigurări medicale. Aceste afilieri sunt obligatorii pentru toți avocații, inclusiv cei stagiari, înscriși în tabloul avocaților. Avocatul poate să subscrie la asigurări complementare. Totodată poate să constituie o pensie suplimentară prin Fondul de Pensii al Casei de Ajutor a Avocaților și Executorilor Judecătorești sau prin oricare casă de asigurări autorizată de stat. Afilierea se face în mod individual.</w:t>
      </w:r>
    </w:p>
    <w:p w14:paraId="3A467107" w14:textId="77777777" w:rsidR="002D0712" w:rsidRDefault="002D0712" w:rsidP="002D0712">
      <w:pPr>
        <w:pStyle w:val="NormalWeb"/>
      </w:pPr>
      <w:r>
        <w:t>Anumite barouri au semnat o poliță colectivă cu Fondul Mutual, pentru ca avocații să poată beneficia de o asigurare complementară de boală.</w:t>
      </w:r>
    </w:p>
    <w:p w14:paraId="3B6AE66C" w14:textId="77777777" w:rsidR="002D0712" w:rsidRDefault="002D0712" w:rsidP="002D0712">
      <w:pPr>
        <w:pStyle w:val="NormalWeb"/>
      </w:pPr>
      <w:r>
        <w:t> </w:t>
      </w:r>
    </w:p>
    <w:p w14:paraId="0F167EA6" w14:textId="77777777" w:rsidR="002D0712" w:rsidRDefault="002D0712" w:rsidP="002D0712">
      <w:pPr>
        <w:pStyle w:val="NormalWeb"/>
      </w:pPr>
      <w:r>
        <w:rPr>
          <w:rStyle w:val="Strong"/>
        </w:rPr>
        <w:lastRenderedPageBreak/>
        <w:t>Cipru</w:t>
      </w:r>
    </w:p>
    <w:p w14:paraId="6D056FBB" w14:textId="77777777" w:rsidR="002D0712" w:rsidRDefault="002D0712" w:rsidP="002D0712">
      <w:pPr>
        <w:pStyle w:val="NormalWeb"/>
      </w:pPr>
      <w:r>
        <w:t>Avocații sunt obligați să se înscrie și să achite contribuțiile la Fondul de Pensii al Avocaților, care funcționează în cadrul baroului cipriot. Singura prestație oferită este plata indemnizației pentru retragerea din profesie.</w:t>
      </w:r>
    </w:p>
    <w:p w14:paraId="049C5971" w14:textId="77777777" w:rsidR="002D0712" w:rsidRDefault="002D0712" w:rsidP="002D0712">
      <w:pPr>
        <w:pStyle w:val="NormalWeb"/>
      </w:pPr>
      <w:r>
        <w:t> </w:t>
      </w:r>
    </w:p>
    <w:p w14:paraId="7D1FE4F1" w14:textId="77777777" w:rsidR="002D0712" w:rsidRDefault="002D0712" w:rsidP="002D0712">
      <w:pPr>
        <w:pStyle w:val="NormalWeb"/>
      </w:pPr>
      <w:r>
        <w:rPr>
          <w:rStyle w:val="Strong"/>
        </w:rPr>
        <w:t>Spania</w:t>
      </w:r>
    </w:p>
    <w:p w14:paraId="4B9EE7CA" w14:textId="77777777" w:rsidR="002D0712" w:rsidRDefault="002D0712" w:rsidP="002D0712">
      <w:pPr>
        <w:pStyle w:val="NormalWeb"/>
      </w:pPr>
      <w:r>
        <w:t>Orice avocat membru al unui barou trebuie să opteze pentru unul din cele trei sisteme de asigurări sociale, după cum urmează :</w:t>
      </w:r>
    </w:p>
    <w:p w14:paraId="2A2EFC23" w14:textId="77777777" w:rsidR="002D0712" w:rsidRDefault="002D0712" w:rsidP="002D0712">
      <w:pPr>
        <w:pStyle w:val="NormalWeb"/>
      </w:pPr>
      <w:r>
        <w:t>În cazul avocatului angajat (în Spania nu există profesia de consilier juridic), acesta este obligat să se afilieze Regimului General al Asigurărilor Sociale, sistem public comun tuturor angajaților din Spania.</w:t>
      </w:r>
    </w:p>
    <w:p w14:paraId="678B96B1" w14:textId="77777777" w:rsidR="002D0712" w:rsidRDefault="002D0712" w:rsidP="002D0712">
      <w:pPr>
        <w:pStyle w:val="NormalWeb"/>
      </w:pPr>
      <w:r>
        <w:t>În cazul avocatului independent, există două posibilități pentru acoperirea asigurărilor sociale:</w:t>
      </w:r>
    </w:p>
    <w:p w14:paraId="7120E52E" w14:textId="77777777" w:rsidR="002D0712" w:rsidRDefault="002D0712" w:rsidP="002D0712">
      <w:pPr>
        <w:pStyle w:val="NormalWeb"/>
      </w:pPr>
      <w:r>
        <w:t>• se poate afilia la Regimul special al Asigurărilor Sociale al Profesioniștilor Independenți care este o ramură specializată a sistemului public de asigurări sociale;</w:t>
      </w:r>
      <w:r>
        <w:br/>
        <w:t>• se poate afilia la Fondul Mutual General al Avocaturii, care este o entitate de asigurări sociale privată, constituită de avocați, sub forma mutualității. Doar regimul de alocații al Fondului Mutual General al Avocaturii este specific profesiei de avocat și este o entitate privată de asigurări sociale.</w:t>
      </w:r>
    </w:p>
    <w:p w14:paraId="16051099" w14:textId="77777777" w:rsidR="002D0712" w:rsidRDefault="002D0712" w:rsidP="002D0712">
      <w:pPr>
        <w:pStyle w:val="NormalWeb"/>
      </w:pPr>
      <w:r>
        <w:t>Regimurile publice menționate mai sus nu au niciun raport cu barourile sau cu Consiliul General al Avocaturii Spaniole.</w:t>
      </w:r>
    </w:p>
    <w:p w14:paraId="5B5A6CDC" w14:textId="77777777" w:rsidR="002D0712" w:rsidRDefault="002D0712" w:rsidP="002D0712">
      <w:pPr>
        <w:pStyle w:val="NormalWeb"/>
      </w:pPr>
      <w:r>
        <w:t>Prestații oferite: văduvie, alocații pentru copii orfani, alocații în caz de deces, pensii pentru limită de vârstă, pensii de invaliditate.</w:t>
      </w:r>
    </w:p>
    <w:p w14:paraId="370F255D" w14:textId="77777777" w:rsidR="002D0712" w:rsidRDefault="002D0712" w:rsidP="002D0712">
      <w:pPr>
        <w:pStyle w:val="NormalWeb"/>
      </w:pPr>
      <w:r>
        <w:t> </w:t>
      </w:r>
    </w:p>
    <w:p w14:paraId="5B193AC6" w14:textId="77777777" w:rsidR="002D0712" w:rsidRDefault="002D0712" w:rsidP="002D0712">
      <w:pPr>
        <w:pStyle w:val="NormalWeb"/>
      </w:pPr>
      <w:r>
        <w:rPr>
          <w:rStyle w:val="Strong"/>
        </w:rPr>
        <w:t>Franța</w:t>
      </w:r>
    </w:p>
    <w:p w14:paraId="71F09D89" w14:textId="77777777" w:rsidR="002D0712" w:rsidRDefault="002D0712" w:rsidP="002D0712">
      <w:pPr>
        <w:pStyle w:val="NormalWeb"/>
      </w:pPr>
      <w:r>
        <w:t>Cotizațiile sunt obligatorii la bugetul celor trei organisme de protecție socială (alocații familiare, boală și maternitate, pensii) pentru profesioniștii independenți. Doar Casa Națională a Barourilor Franceze (CNBF) care asigură plata pensiilor este proprie avocaților. Avocații înscriși într-un barou sunt afiliați obligatoriu la CNBF.</w:t>
      </w:r>
    </w:p>
    <w:p w14:paraId="36D88848" w14:textId="77777777" w:rsidR="002D0712" w:rsidRDefault="002D0712" w:rsidP="002D0712">
      <w:pPr>
        <w:pStyle w:val="NormalWeb"/>
      </w:pPr>
      <w:r>
        <w:rPr>
          <w:rStyle w:val="Strong"/>
        </w:rPr>
        <w:t xml:space="preserve">Administrare și coordonare </w:t>
      </w:r>
    </w:p>
    <w:p w14:paraId="2BF10135" w14:textId="77777777" w:rsidR="002D0712" w:rsidRDefault="002D0712" w:rsidP="002D0712">
      <w:pPr>
        <w:pStyle w:val="NormalWeb"/>
      </w:pPr>
      <w:r>
        <w:t>Personalul CNBF are un statut de drept privat și este plasat sub autoritate Directorului.</w:t>
      </w:r>
    </w:p>
    <w:p w14:paraId="57C819EE" w14:textId="77777777" w:rsidR="002D0712" w:rsidRDefault="002D0712" w:rsidP="002D0712">
      <w:pPr>
        <w:pStyle w:val="NormalWeb"/>
      </w:pPr>
      <w:r>
        <w:t>Organismele de coordonare ale CNBF sunt compuse în exclusivitate din avocați care activează în numele și în interesul profesiei.</w:t>
      </w:r>
    </w:p>
    <w:p w14:paraId="3297AAD6" w14:textId="77777777" w:rsidR="002D0712" w:rsidRDefault="002D0712" w:rsidP="002D0712">
      <w:pPr>
        <w:pStyle w:val="NormalWeb"/>
      </w:pPr>
      <w:r>
        <w:t>Membrii CNBF își desemnează reprezentanții în Adunarea Generală  pentru un mandat de șase ani.</w:t>
      </w:r>
    </w:p>
    <w:p w14:paraId="7F819261" w14:textId="77777777" w:rsidR="002D0712" w:rsidRDefault="002D0712" w:rsidP="002D0712">
      <w:pPr>
        <w:pStyle w:val="NormalWeb"/>
      </w:pPr>
      <w:r>
        <w:t>Adunarea Generală a CNBF este compusă din 145 de delegați, dintre care :</w:t>
      </w:r>
    </w:p>
    <w:p w14:paraId="28D98DBF" w14:textId="77777777" w:rsidR="002D0712" w:rsidRDefault="002D0712" w:rsidP="002D0712">
      <w:pPr>
        <w:pStyle w:val="NormalWeb"/>
      </w:pPr>
      <w:r>
        <w:lastRenderedPageBreak/>
        <w:t>• 2 delegați desemnați de Ordinul Avocaților la Consiliul de Stat și la Curtea de Casație;</w:t>
      </w:r>
      <w:r>
        <w:br/>
        <w:t>• 129 de delegați, aleși, în activitate;</w:t>
      </w:r>
      <w:r>
        <w:br/>
        <w:t>• 14 delegați, aleși, beneficiari ai unei pensii pentru limită de vârstă sau de invaliditate.</w:t>
      </w:r>
    </w:p>
    <w:p w14:paraId="3D1FB1A0" w14:textId="77777777" w:rsidR="002D0712" w:rsidRDefault="002D0712" w:rsidP="002D0712">
      <w:pPr>
        <w:pStyle w:val="NormalWeb"/>
      </w:pPr>
      <w:r>
        <w:t>Alegerile se fac prin vot secret. Sunt aleși ca delegați avocații care au obținut cel mai mare număr de voturi în cadrul celor 35 de grupări, pentru avocații în activitate. Fiecare grupare reprezintă barourile din raza teritorială a unei Curți de Apel. Li se adaugă o grupare distinctă pentru beneficiarii de pensii pentru limită de vârstă sau de invaliditate.</w:t>
      </w:r>
    </w:p>
    <w:p w14:paraId="03EE2DC8" w14:textId="77777777" w:rsidR="002D0712" w:rsidRDefault="002D0712" w:rsidP="002D0712">
      <w:pPr>
        <w:pStyle w:val="NormalWeb"/>
      </w:pPr>
      <w:r>
        <w:t>Adunarea Generală stabilește cuantumul cotizațiilor și al prestațiilor pentru anul ce urmează. Adoptă sau modifică statutul CNBF și reglementările regimului complementar. Propune, sub formă de rezoluții, orice modificare  de natură legislativă sau de reglementare care să permită crearea de noi resurse sau acordarea de prestații.  Deciziile Adunării Generale de această natură pot face obiect al unei opoziții din partea ministrului asigurărilor sociale. Adunarea Generală alege administratorii responsabili de gestiunea Casei și de aplicarea rezoluțiilor. Se întrunește cel puțin o dată pe an.</w:t>
      </w:r>
    </w:p>
    <w:p w14:paraId="635EFF49" w14:textId="77777777" w:rsidR="002D0712" w:rsidRDefault="002D0712" w:rsidP="002D0712">
      <w:pPr>
        <w:pStyle w:val="NormalWeb"/>
      </w:pPr>
      <w:r>
        <w:rPr>
          <w:rStyle w:val="Strong"/>
        </w:rPr>
        <w:t xml:space="preserve">Consiliul de Administrație </w:t>
      </w:r>
    </w:p>
    <w:p w14:paraId="4E74851C" w14:textId="77777777" w:rsidR="002D0712" w:rsidRDefault="002D0712" w:rsidP="002D0712">
      <w:pPr>
        <w:pStyle w:val="NormalWeb"/>
      </w:pPr>
      <w:r>
        <w:t>Consiliul de Administrație al CNBF se compune din 38 de administratori titulari și 38 de administratori supleanți.  Sunt aleși sau desemnați pentru un mandat de 6 ani astfel:</w:t>
      </w:r>
    </w:p>
    <w:p w14:paraId="67236B18" w14:textId="77777777" w:rsidR="002D0712" w:rsidRDefault="002D0712" w:rsidP="002D0712">
      <w:pPr>
        <w:pStyle w:val="NormalWeb"/>
      </w:pPr>
      <w:r>
        <w:t>• în cadrul unei grupări a avocaților la Consiliul de Stat și la Curtea de Casație ;</w:t>
      </w:r>
      <w:r>
        <w:br/>
        <w:t>• în cadrul unei grupări reprezentând avocații din Baroul Paris ;</w:t>
      </w:r>
      <w:r>
        <w:br/>
        <w:t>• în cadrul unei grupări reprezentând avocații din barourile din provincie si ale teritoriilor de peste mări ;</w:t>
      </w:r>
      <w:r>
        <w:br/>
        <w:t>• în cadrul unei grupări reprezentând beneficiarii unor pensii pentru limită de vârstă sau de invaliditate.</w:t>
      </w:r>
    </w:p>
    <w:p w14:paraId="54D07573" w14:textId="77777777" w:rsidR="002D0712" w:rsidRDefault="002D0712" w:rsidP="002D0712">
      <w:pPr>
        <w:pStyle w:val="NormalWeb"/>
      </w:pPr>
      <w:r>
        <w:t>Consiliul de Administrație propune cuantumul cotizațiilor și al prestațiilor la Adunarea Generală, votează bugetele, aprobă conturile exercițiului bugetar, dă instrucțiuni în cazuri speciale în materie de pensii,  alocații de invaliditate temporară, de pensii de invaliditate permanente și de ajutoare.</w:t>
      </w:r>
    </w:p>
    <w:p w14:paraId="5C368EAC" w14:textId="77777777" w:rsidR="002D0712" w:rsidRDefault="002D0712" w:rsidP="002D0712">
      <w:pPr>
        <w:pStyle w:val="NormalWeb"/>
      </w:pPr>
      <w:r>
        <w:t>Consiliul de Administrație alege și poate revoca pe director și pe agentul contabil al Casei.</w:t>
      </w:r>
    </w:p>
    <w:p w14:paraId="340C4AC8" w14:textId="77777777" w:rsidR="002D0712" w:rsidRDefault="002D0712" w:rsidP="002D0712">
      <w:pPr>
        <w:pStyle w:val="NormalWeb"/>
      </w:pPr>
      <w:r>
        <w:t>Consiliul de Administrație se întrunește cel puțin o dată pe trimestru, iar în cadrul lui funcționează 16 comisii, din care 6 sunt statutare și reglementare. Membrii comisiilor sunt desemnați de Consiliu.</w:t>
      </w:r>
    </w:p>
    <w:p w14:paraId="569D9C84" w14:textId="77777777" w:rsidR="002D0712" w:rsidRDefault="002D0712" w:rsidP="002D0712">
      <w:pPr>
        <w:pStyle w:val="NormalWeb"/>
      </w:pPr>
      <w:r>
        <w:t> </w:t>
      </w:r>
    </w:p>
    <w:p w14:paraId="778A6731" w14:textId="77777777" w:rsidR="002D0712" w:rsidRDefault="002D0712" w:rsidP="002D0712">
      <w:pPr>
        <w:pStyle w:val="NormalWeb"/>
      </w:pPr>
      <w:r>
        <w:rPr>
          <w:rStyle w:val="Strong"/>
        </w:rPr>
        <w:t xml:space="preserve">Comisiile reglementare și statutare </w:t>
      </w:r>
    </w:p>
    <w:p w14:paraId="13A5AA94" w14:textId="77777777" w:rsidR="002D0712" w:rsidRDefault="002D0712" w:rsidP="002D0712">
      <w:pPr>
        <w:pStyle w:val="NormalWeb"/>
      </w:pPr>
      <w:r>
        <w:t>• Comisia pentru scutire de cotizații</w:t>
      </w:r>
      <w:r>
        <w:br/>
        <w:t>• Comisia pentru scutirea de majorări de întârziere</w:t>
      </w:r>
      <w:r>
        <w:br/>
        <w:t>• Comisia pentru recursuri amiabile</w:t>
      </w:r>
      <w:r>
        <w:br/>
        <w:t>• Comisia socială</w:t>
      </w:r>
      <w:r>
        <w:br/>
        <w:t>• Comisia piețelor de capital</w:t>
      </w:r>
      <w:r>
        <w:br/>
        <w:t>• Comisia de plasamente</w:t>
      </w:r>
    </w:p>
    <w:p w14:paraId="39096D2D" w14:textId="692967BC" w:rsidR="002D0712" w:rsidRDefault="002D0712" w:rsidP="002D0712">
      <w:pPr>
        <w:pStyle w:val="NormalWeb"/>
      </w:pPr>
      <w:r>
        <w:rPr>
          <w:rStyle w:val="Strong"/>
        </w:rPr>
        <w:t> Comisiile extrareglementare :</w:t>
      </w:r>
    </w:p>
    <w:p w14:paraId="39AE1A69" w14:textId="77777777" w:rsidR="002D0712" w:rsidRDefault="002D0712" w:rsidP="002D0712">
      <w:pPr>
        <w:pStyle w:val="NormalWeb"/>
      </w:pPr>
      <w:r>
        <w:t>• Comisia pentru comunicare</w:t>
      </w:r>
      <w:r>
        <w:br/>
        <w:t>• Comisia de audit și de control</w:t>
      </w:r>
      <w:r>
        <w:br/>
        <w:t>• Comisia pentru reforme</w:t>
      </w:r>
      <w:r>
        <w:br/>
      </w:r>
      <w:r>
        <w:lastRenderedPageBreak/>
        <w:t>• Comisia de pilotaj al regimurilor</w:t>
      </w:r>
      <w:r>
        <w:br/>
        <w:t>• Comisia inter-instituțională pentru urmărirea reformei pensiilor (2018)</w:t>
      </w:r>
    </w:p>
    <w:p w14:paraId="6737F76C" w14:textId="77777777" w:rsidR="002D0712" w:rsidRDefault="002D0712" w:rsidP="002D0712">
      <w:pPr>
        <w:pStyle w:val="NormalWeb"/>
      </w:pPr>
      <w:r>
        <w:rPr>
          <w:rStyle w:val="Strong"/>
        </w:rPr>
        <w:t> </w:t>
      </w:r>
    </w:p>
    <w:p w14:paraId="691BDCCC" w14:textId="77777777" w:rsidR="002D0712" w:rsidRDefault="002D0712" w:rsidP="002D0712">
      <w:pPr>
        <w:pStyle w:val="NormalWeb"/>
      </w:pPr>
      <w:r>
        <w:rPr>
          <w:rStyle w:val="Strong"/>
        </w:rPr>
        <w:t>Biroul Consiliului de Administrație</w:t>
      </w:r>
      <w:r>
        <w:t xml:space="preserve"> este format din 10 membri, aleși pentru un mandat de 1 an, cu posibilitatea realegerii :</w:t>
      </w:r>
    </w:p>
    <w:p w14:paraId="6CF273E5" w14:textId="77777777" w:rsidR="002D0712" w:rsidRDefault="002D0712" w:rsidP="002D0712">
      <w:pPr>
        <w:pStyle w:val="NormalWeb"/>
      </w:pPr>
      <w:r>
        <w:t>• Președinte</w:t>
      </w:r>
      <w:r>
        <w:br/>
        <w:t>• Vicepreședinți (4 Paris, 4 din departamente)</w:t>
      </w:r>
      <w:r>
        <w:br/>
        <w:t>• Secretar general</w:t>
      </w:r>
    </w:p>
    <w:p w14:paraId="2C5506B6" w14:textId="77777777" w:rsidR="002D0712" w:rsidRDefault="002D0712" w:rsidP="002D0712">
      <w:pPr>
        <w:pStyle w:val="NormalWeb"/>
      </w:pPr>
      <w:r>
        <w:t>Biroul pregătește ordinea de zi a Consiliilor de Administrație și decide, în comisie de recurs grațios, în vederea soluționării anumitor dosare. Se reunește lunar, cu excepția lunii august.</w:t>
      </w:r>
    </w:p>
    <w:p w14:paraId="54EF4AF5" w14:textId="77777777" w:rsidR="002D0712" w:rsidRDefault="002D0712" w:rsidP="002D0712">
      <w:pPr>
        <w:pStyle w:val="NormalWeb"/>
      </w:pPr>
      <w:r>
        <w:rPr>
          <w:rStyle w:val="Strong"/>
        </w:rPr>
        <w:t>Președintele Consiliului de Administrație</w:t>
      </w:r>
      <w:r>
        <w:t xml:space="preserve"> este ales pentru un mandat de doi ani. Provine alternativ dintr-un barou departamental din Ordinul Avocaților sau din Baroul Paris. Președintele Consiliului de Administrație își desfășoară activitatea în limitele atribuțiilor ce îi sunt conferite prin regulamente în numele Consiliului de Administrație și ale Biroului. El convoacă adunările generale și reunește Biroul, ori de câte ori este nevoie. Președintele poate delega anumite atribuții ce îi revin.</w:t>
      </w:r>
    </w:p>
    <w:p w14:paraId="7B1B86D8" w14:textId="77777777" w:rsidR="002D0712" w:rsidRDefault="002D0712" w:rsidP="002D0712">
      <w:pPr>
        <w:pStyle w:val="NormalWeb"/>
      </w:pPr>
      <w:r>
        <w:t>Directorul și agentul contabil sunt numiți de Consiliul de Administrație și au sarcina de a asigura funcționarea Casei, a personalului și a patrimoniului. Participă la reuniunile Consiliului de Administrație și ale Biroului, iar votul lor este consultativ. Sunt cei mai apropiați colaboratori ai Președintelui și ai Biroului.</w:t>
      </w:r>
    </w:p>
    <w:p w14:paraId="6A11179C" w14:textId="77777777" w:rsidR="002D0712" w:rsidRDefault="002D0712" w:rsidP="002D0712">
      <w:pPr>
        <w:pStyle w:val="NormalWeb"/>
      </w:pPr>
      <w:r>
        <w:t> </w:t>
      </w:r>
    </w:p>
    <w:p w14:paraId="2CC3A15A" w14:textId="77777777" w:rsidR="002D0712" w:rsidRDefault="002D0712" w:rsidP="002D0712">
      <w:pPr>
        <w:pStyle w:val="NormalWeb"/>
      </w:pPr>
      <w:r>
        <w:rPr>
          <w:rStyle w:val="Strong"/>
        </w:rPr>
        <w:t>Italia</w:t>
      </w:r>
    </w:p>
    <w:p w14:paraId="6811BFD3" w14:textId="77777777" w:rsidR="002D0712" w:rsidRDefault="002D0712" w:rsidP="002D0712">
      <w:pPr>
        <w:pStyle w:val="NormalWeb"/>
      </w:pPr>
      <w:r>
        <w:t>Casa Națională de Prevederi Sociale și Asistență (</w:t>
      </w:r>
      <w:proofErr w:type="spellStart"/>
      <w:r>
        <w:t>Cassa</w:t>
      </w:r>
      <w:proofErr w:type="spellEnd"/>
      <w:r>
        <w:t xml:space="preserve"> </w:t>
      </w:r>
      <w:proofErr w:type="spellStart"/>
      <w:r>
        <w:t>Nazionale</w:t>
      </w:r>
      <w:proofErr w:type="spellEnd"/>
      <w:r>
        <w:t xml:space="preserve"> di </w:t>
      </w:r>
      <w:proofErr w:type="spellStart"/>
      <w:r>
        <w:t>Previdenza</w:t>
      </w:r>
      <w:proofErr w:type="spellEnd"/>
      <w:r>
        <w:t xml:space="preserve"> e </w:t>
      </w:r>
      <w:proofErr w:type="spellStart"/>
      <w:r>
        <w:t>Assistenza</w:t>
      </w:r>
      <w:proofErr w:type="spellEnd"/>
      <w:r>
        <w:t xml:space="preserve"> </w:t>
      </w:r>
      <w:proofErr w:type="spellStart"/>
      <w:r>
        <w:t>Forense</w:t>
      </w:r>
      <w:proofErr w:type="spellEnd"/>
      <w:r>
        <w:t xml:space="preserve"> - </w:t>
      </w:r>
      <w:proofErr w:type="spellStart"/>
      <w:r>
        <w:t>Cassa</w:t>
      </w:r>
      <w:proofErr w:type="spellEnd"/>
      <w:r>
        <w:t xml:space="preserve"> </w:t>
      </w:r>
      <w:proofErr w:type="spellStart"/>
      <w:r>
        <w:t>Forense</w:t>
      </w:r>
      <w:proofErr w:type="spellEnd"/>
      <w:r>
        <w:t xml:space="preserve">) girează un sistem de prevederi obligatoriu. Înscrierea la </w:t>
      </w:r>
      <w:proofErr w:type="spellStart"/>
      <w:r>
        <w:t>Cassa</w:t>
      </w:r>
      <w:proofErr w:type="spellEnd"/>
      <w:r>
        <w:t xml:space="preserve"> </w:t>
      </w:r>
      <w:proofErr w:type="spellStart"/>
      <w:r>
        <w:t>Forense</w:t>
      </w:r>
      <w:proofErr w:type="spellEnd"/>
      <w:r>
        <w:t xml:space="preserve"> și plata cotizațiilor sunt obligatorii doar pentru avocații înscriși în Ordin și care își exercită profesia de manieră continuă, în sensul că ating un nivel minim de venit (în 2003, acesta era de 6960 euro) sau o anumită cifră de afaceri (10.440 euro). Toți avocații sunt obligați să declare cuantumul veniturilor și cifrele de afaceri realizate în Italia și să achite cotizațiile (obligatorii și complementare pentru cei înscriși în Casă, complementare pentru cei înscriși în Ordin, dar nu și în Casă).</w:t>
      </w:r>
    </w:p>
    <w:p w14:paraId="0BF90275" w14:textId="77777777" w:rsidR="002D0712" w:rsidRDefault="002D0712" w:rsidP="002D0712">
      <w:pPr>
        <w:pStyle w:val="NormalWeb"/>
      </w:pPr>
      <w:r>
        <w:t>Avocații înscriși în Casă plătesc trei categorii de cotizații:</w:t>
      </w:r>
    </w:p>
    <w:p w14:paraId="6ADFFF32" w14:textId="77777777" w:rsidR="002D0712" w:rsidRDefault="002D0712" w:rsidP="002D0712">
      <w:pPr>
        <w:pStyle w:val="NormalWeb"/>
      </w:pPr>
      <w:r>
        <w:t>• cotizații individuale (calculate în baza venitului profesional net);</w:t>
      </w:r>
      <w:r>
        <w:br/>
        <w:t>• cotizații complementare 2% din cifra de afaceri TVA);</w:t>
      </w:r>
      <w:r>
        <w:br/>
        <w:t>• cotizații în caz de maternitate (cuantum fix).</w:t>
      </w:r>
    </w:p>
    <w:p w14:paraId="2E4DFFF3" w14:textId="77777777" w:rsidR="002D0712" w:rsidRDefault="002D0712" w:rsidP="002D0712">
      <w:pPr>
        <w:pStyle w:val="NormalWeb"/>
      </w:pPr>
      <w:r>
        <w:t xml:space="preserve">De remarcat că plata cotizației complementare de 2% pe cifra de afaceri este obligatorie pentru toți membrii Ordinului, chiar dacă nu sunt înscriși în </w:t>
      </w:r>
      <w:proofErr w:type="spellStart"/>
      <w:r>
        <w:t>Cassa</w:t>
      </w:r>
      <w:proofErr w:type="spellEnd"/>
      <w:r>
        <w:t xml:space="preserve"> </w:t>
      </w:r>
      <w:proofErr w:type="spellStart"/>
      <w:r>
        <w:t>Forense</w:t>
      </w:r>
      <w:proofErr w:type="spellEnd"/>
      <w:r>
        <w:t>.</w:t>
      </w:r>
    </w:p>
    <w:p w14:paraId="0160DE94" w14:textId="77777777" w:rsidR="002D0712" w:rsidRDefault="002D0712" w:rsidP="002D0712">
      <w:pPr>
        <w:pStyle w:val="NormalWeb"/>
      </w:pPr>
      <w:r>
        <w:t>Prestații oferite:</w:t>
      </w:r>
    </w:p>
    <w:p w14:paraId="7C478A4F" w14:textId="77777777" w:rsidR="002D0712" w:rsidRDefault="002D0712" w:rsidP="002D0712">
      <w:pPr>
        <w:pStyle w:val="NormalWeb"/>
      </w:pPr>
      <w:r>
        <w:t>• pensie pentru limită de vârstă (la vârsta de 65 de ani, vechime în sistem de 30 de ani și plata cotizațiilor – radierea din Ordin nu este obligatorie);</w:t>
      </w:r>
      <w:r>
        <w:br/>
        <w:t>• pensie de vechime în profesie (vârsta de minim 58 de ani, vechime în sistem de 35 de ani, radierea din Ordin este obligatorie);</w:t>
      </w:r>
      <w:r>
        <w:br/>
      </w:r>
      <w:r>
        <w:lastRenderedPageBreak/>
        <w:t>• pensie de incapacitate (în caz de incapacitate absolută de 100% intervenită după minim 10 ani de vechime în sistem și 5 ani de plată a cotizațiilor, dacă incapacitatea este rezultatul unui accident. Radierea din Ordin este obligatorie);</w:t>
      </w:r>
      <w:r>
        <w:br/>
        <w:t>• pensie de invaliditate (în caz de invaliditate de peste 2/3, intervenită după minim 10 ani de vechime în sistem și de plată a cotizațiilor timp de 5 ani, iar invaliditatea este urmarea unui accident. Radierea din Ordin nu este obligatorie);</w:t>
      </w:r>
      <w:r>
        <w:br/>
        <w:t>• prestații indirecte în favoarea urmașilor (în caz de deces intervenit înaintea expirării dreptului la pensie, dar cu minim 10 ani de vechime în sistem și plată a cotizațiilor);</w:t>
      </w:r>
      <w:r>
        <w:br/>
        <w:t>• pensie de urmaș (în caz de deces intervenit după dobândirea dreptului la pensie);</w:t>
      </w:r>
      <w:r>
        <w:br/>
        <w:t xml:space="preserve">• alte prestații de asistență socială (cotizații suplimentare, indemnizații de maternitate, contribuții la acoperirea cheltuielilor de înmormântare, </w:t>
      </w:r>
      <w:proofErr w:type="spellStart"/>
      <w:r>
        <w:t>ș.a.m.d</w:t>
      </w:r>
      <w:proofErr w:type="spellEnd"/>
      <w:r>
        <w:t>).</w:t>
      </w:r>
    </w:p>
    <w:p w14:paraId="5F9201E4" w14:textId="77777777" w:rsidR="002D0712" w:rsidRDefault="002D0712" w:rsidP="002D0712">
      <w:pPr>
        <w:pStyle w:val="NormalWeb"/>
      </w:pPr>
      <w:r>
        <w:t>Îngrijirea curentă a sănătății, șomajul sau întreruperile în vechimea în muncă nu sunt acoperite.</w:t>
      </w:r>
    </w:p>
    <w:p w14:paraId="7F5F83AE" w14:textId="77777777" w:rsidR="002D0712" w:rsidRDefault="002D0712" w:rsidP="002D0712">
      <w:pPr>
        <w:pStyle w:val="NormalWeb"/>
      </w:pPr>
      <w:r>
        <w:t> </w:t>
      </w:r>
    </w:p>
    <w:p w14:paraId="0E4BB415" w14:textId="77777777" w:rsidR="002D0712" w:rsidRDefault="002D0712" w:rsidP="002D0712">
      <w:pPr>
        <w:pStyle w:val="NormalWeb"/>
      </w:pPr>
      <w:r>
        <w:rPr>
          <w:rStyle w:val="Strong"/>
        </w:rPr>
        <w:t>Grecia</w:t>
      </w:r>
    </w:p>
    <w:p w14:paraId="09484580" w14:textId="77777777" w:rsidR="002D0712" w:rsidRDefault="002D0712" w:rsidP="002D0712">
      <w:pPr>
        <w:pStyle w:val="NormalWeb"/>
      </w:pPr>
      <w:r>
        <w:t>Două organisme se ocupă de pensiile și prevederile sociale ale avocaților:</w:t>
      </w:r>
    </w:p>
    <w:p w14:paraId="349EF7FF" w14:textId="77777777" w:rsidR="002D0712" w:rsidRDefault="002D0712" w:rsidP="002D0712">
      <w:pPr>
        <w:pStyle w:val="NormalWeb"/>
      </w:pPr>
      <w:r>
        <w:t>• Casa Juriștilor: organizație care reglementează și girează, la nivel național, pensiile tuturor avocaților, notarilor și executorilor judecătorești și Casa Specială (asistența mutuală a avocaților, care varsă acestora o pensie suplimentară, în plus față de cea vărsată de Casa Juriștilor);</w:t>
      </w:r>
      <w:r>
        <w:br/>
        <w:t xml:space="preserve">• Casa de Prevederi Sociale a Avocaților. Fiecare barou dispune de o casă de asigurări care este răspunzătoare de serviciile sociale și sanitare oferite avocaților din baroul respectiv. Unele barouri și-au regrupat casele de asigurări, dar în orașele mari, în special Atena, Pireu, </w:t>
      </w:r>
      <w:proofErr w:type="spellStart"/>
      <w:r>
        <w:t>Thessaloniki</w:t>
      </w:r>
      <w:proofErr w:type="spellEnd"/>
      <w:r>
        <w:t>, fiecare barou dispune de propria casă.</w:t>
      </w:r>
    </w:p>
    <w:p w14:paraId="519CC9D4" w14:textId="77777777" w:rsidR="002D0712" w:rsidRDefault="002D0712" w:rsidP="002D0712">
      <w:pPr>
        <w:pStyle w:val="NormalWeb"/>
      </w:pPr>
      <w:r>
        <w:t>Înscrierea în cele două case este obligatorie.</w:t>
      </w:r>
    </w:p>
    <w:p w14:paraId="06F79BD7" w14:textId="77777777" w:rsidR="002D0712" w:rsidRDefault="002D0712" w:rsidP="002D0712">
      <w:pPr>
        <w:pStyle w:val="NormalWeb"/>
      </w:pPr>
      <w:r>
        <w:t>Prestații oferite: Casa de Prevederi Sociale a Avocaților oferă două tipuri de servicii :</w:t>
      </w:r>
    </w:p>
    <w:p w14:paraId="64224811" w14:textId="77777777" w:rsidR="002D0712" w:rsidRDefault="002D0712" w:rsidP="002D0712">
      <w:pPr>
        <w:pStyle w:val="NormalWeb"/>
      </w:pPr>
      <w:r>
        <w:t>• Prevederi sociale (sumă forfetară la începutul intrării în pensie, alocații în caz de pierdere a venitului, tabere de vacanță pentru copii, cheltuieli de înmormântare)</w:t>
      </w:r>
      <w:r>
        <w:br/>
        <w:t>• Tratament medical, spitalizare și tratament farmaceutic (alocații pentru maternitate, rambursarea cheltuielilor medicale, de spitalizare și a celor farmaceutice)</w:t>
      </w:r>
    </w:p>
    <w:p w14:paraId="1233A086" w14:textId="747D7900" w:rsidR="002D0712" w:rsidRDefault="002D0712" w:rsidP="002D0712">
      <w:pPr>
        <w:pStyle w:val="NormalWeb"/>
        <w:rPr>
          <w:rStyle w:val="Strong"/>
        </w:rPr>
      </w:pPr>
      <w:r>
        <w:rPr>
          <w:rStyle w:val="Strong"/>
        </w:rPr>
        <w:t> </w:t>
      </w:r>
    </w:p>
    <w:p w14:paraId="0C97EFD0" w14:textId="77777777" w:rsidR="003853E6" w:rsidRDefault="003853E6" w:rsidP="002D0712">
      <w:pPr>
        <w:pStyle w:val="NormalWeb"/>
      </w:pPr>
    </w:p>
    <w:p w14:paraId="61A2012E" w14:textId="77777777" w:rsidR="002D0712" w:rsidRDefault="002D0712" w:rsidP="002D0712">
      <w:pPr>
        <w:pStyle w:val="NormalWeb"/>
      </w:pPr>
      <w:r>
        <w:rPr>
          <w:rStyle w:val="Strong"/>
        </w:rPr>
        <w:t>Polonia</w:t>
      </w:r>
    </w:p>
    <w:p w14:paraId="1F142D03" w14:textId="77777777" w:rsidR="002D0712" w:rsidRDefault="002D0712" w:rsidP="002D0712">
      <w:pPr>
        <w:pStyle w:val="NormalWeb"/>
      </w:pPr>
      <w:r>
        <w:t>În Polonia, avocatul, ca orice alt profesionist independent ori angajat este supus regimului de asigurări sociale de stat, care reglementează toate tipurile de asigurări sociale și de sănătate. Fondurile de asistență socială ale avocaților sunt gestionate de camere regionale ale barourilor, în funcție de veniturile acestora.</w:t>
      </w:r>
    </w:p>
    <w:p w14:paraId="640F83C2" w14:textId="77777777" w:rsidR="002D0712" w:rsidRDefault="002D0712" w:rsidP="002D0712">
      <w:pPr>
        <w:pStyle w:val="NormalWeb"/>
      </w:pPr>
      <w:r>
        <w:t>Cu titlu de exemplu, Baroul Varșovia oferă următoarele prestații :</w:t>
      </w:r>
    </w:p>
    <w:p w14:paraId="423EA81B" w14:textId="77777777" w:rsidR="002D0712" w:rsidRDefault="002D0712" w:rsidP="002D0712">
      <w:pPr>
        <w:pStyle w:val="NormalWeb"/>
      </w:pPr>
      <w:r>
        <w:t>• ajutor financiar permanent pentru toți avocații ieșiți la pensie și care au o vechime în profesie de minim 35 de ani;</w:t>
      </w:r>
      <w:r>
        <w:br/>
        <w:t xml:space="preserve">• ajutor financiar punctual pentru toți avocații și stagiarii care întâmpină dificultăți financiare, urmare </w:t>
      </w:r>
      <w:r>
        <w:lastRenderedPageBreak/>
        <w:t>a unui eveniment neprevăzut (boală de lungă durată, accident, incendiu, etc.);</w:t>
      </w:r>
      <w:r>
        <w:br/>
        <w:t>• ajutor financiar destinat familiei în caz de deces al unui avocat.</w:t>
      </w:r>
    </w:p>
    <w:p w14:paraId="78C3EC98" w14:textId="77777777" w:rsidR="002D0712" w:rsidRDefault="002D0712" w:rsidP="002D0712">
      <w:pPr>
        <w:pStyle w:val="NormalWeb"/>
      </w:pPr>
      <w:r>
        <w:t> </w:t>
      </w:r>
    </w:p>
    <w:p w14:paraId="0F588CCA" w14:textId="77777777" w:rsidR="002D0712" w:rsidRDefault="002D0712" w:rsidP="002D0712">
      <w:pPr>
        <w:pStyle w:val="NormalWeb"/>
      </w:pPr>
      <w:r>
        <w:rPr>
          <w:rStyle w:val="Strong"/>
        </w:rPr>
        <w:t>Portugalia</w:t>
      </w:r>
    </w:p>
    <w:p w14:paraId="531DE7BD" w14:textId="77777777" w:rsidR="002D0712" w:rsidRDefault="002D0712" w:rsidP="002D0712">
      <w:pPr>
        <w:pStyle w:val="NormalWeb"/>
      </w:pPr>
      <w:r>
        <w:t xml:space="preserve">Înscrierea obligatorie la nivel național pentru toți avocații la </w:t>
      </w:r>
      <w:proofErr w:type="spellStart"/>
      <w:r>
        <w:t>Caixa</w:t>
      </w:r>
      <w:proofErr w:type="spellEnd"/>
      <w:r>
        <w:t xml:space="preserve"> de </w:t>
      </w:r>
      <w:proofErr w:type="spellStart"/>
      <w:r>
        <w:t>Previdência</w:t>
      </w:r>
      <w:proofErr w:type="spellEnd"/>
      <w:r>
        <w:t xml:space="preserve"> dos </w:t>
      </w:r>
      <w:proofErr w:type="spellStart"/>
      <w:r>
        <w:t>Advogados</w:t>
      </w:r>
      <w:proofErr w:type="spellEnd"/>
      <w:r>
        <w:t xml:space="preserve"> e </w:t>
      </w:r>
      <w:proofErr w:type="spellStart"/>
      <w:r>
        <w:t>Solicitadores</w:t>
      </w:r>
      <w:proofErr w:type="spellEnd"/>
      <w:r>
        <w:t>.</w:t>
      </w:r>
    </w:p>
    <w:p w14:paraId="3D502D01" w14:textId="77777777" w:rsidR="002D0712" w:rsidRDefault="002D0712" w:rsidP="002D0712">
      <w:pPr>
        <w:pStyle w:val="NormalWeb"/>
      </w:pPr>
      <w:r>
        <w:t>NB : dacă avocatul lucrează ca salariat, el va fi concomitent înscris și în sistemul național de asigurări sociale portughez și va cumula ansamblul beneficiilor aferente celor două sisteme. Înscrierea și plata cotizațiilor sunt obligatorii pentru toți membrii barourilor.</w:t>
      </w:r>
    </w:p>
    <w:p w14:paraId="47DB560E" w14:textId="77777777" w:rsidR="002D0712" w:rsidRDefault="002D0712" w:rsidP="002D0712">
      <w:pPr>
        <w:pStyle w:val="NormalWeb"/>
      </w:pPr>
      <w:r>
        <w:t>Prestații oferite :</w:t>
      </w:r>
    </w:p>
    <w:p w14:paraId="448136FF" w14:textId="77777777" w:rsidR="002D0712" w:rsidRDefault="002D0712" w:rsidP="002D0712">
      <w:pPr>
        <w:pStyle w:val="NormalWeb"/>
      </w:pPr>
      <w:r>
        <w:t>• pensie de retragere;</w:t>
      </w:r>
      <w:r>
        <w:br/>
        <w:t>• pensie de invaliditate;</w:t>
      </w:r>
      <w:r>
        <w:br/>
        <w:t>• pensie de urmaș (60% din pensia de retragere sau de invaliditate)</w:t>
      </w:r>
      <w:r>
        <w:br/>
        <w:t>• indemnizație în caz de deces;</w:t>
      </w:r>
      <w:r>
        <w:br/>
        <w:t>• indemnizație pentru înmormântare;</w:t>
      </w:r>
      <w:r>
        <w:br/>
        <w:t>• alocație de naștere (fixă);</w:t>
      </w:r>
      <w:r>
        <w:br/>
        <w:t>• alocație de maternitate (variază în funcție de cotizația plătită);</w:t>
      </w:r>
      <w:r>
        <w:br/>
        <w:t>• alocație de ajutor în cazul recuperării în urma spitalizării sau a unei intervenții chirurgicale (variază în funcție de cotizația plătită);</w:t>
      </w:r>
      <w:r>
        <w:br/>
        <w:t>• rambursarea costurilor urmare a unei spitalizări, intervenții chirurgicale sau a maternității beneficiarului ori a soției/soțului.</w:t>
      </w:r>
    </w:p>
    <w:p w14:paraId="2C279B4C" w14:textId="77777777" w:rsidR="002D0712" w:rsidRDefault="002D0712" w:rsidP="002D0712">
      <w:pPr>
        <w:pStyle w:val="NormalWeb"/>
      </w:pPr>
      <w:r>
        <w:rPr>
          <w:rStyle w:val="Strong"/>
        </w:rPr>
        <w:t xml:space="preserve">România </w:t>
      </w:r>
    </w:p>
    <w:p w14:paraId="067D711A" w14:textId="77777777" w:rsidR="002D0712" w:rsidRDefault="002D0712" w:rsidP="002D0712">
      <w:pPr>
        <w:pStyle w:val="NormalWeb"/>
      </w:pPr>
      <w:r>
        <w:t>Potrivit Legii 72/2016, în prezent, avocații români contribuie la constituirea fondului de pensii și alte drepturi de asigurări sociale cu o sumă care reprezintă 11% din venitul brut, dar nu mai puțin de 300 lei și nu mai mult de 1452 lei.</w:t>
      </w:r>
    </w:p>
    <w:p w14:paraId="1568B8A8" w14:textId="77777777" w:rsidR="002D0712" w:rsidRDefault="002D0712" w:rsidP="002D0712">
      <w:pPr>
        <w:pStyle w:val="NormalWeb"/>
      </w:pPr>
      <w:r>
        <w:t>Din această contribuție, 85% merge către fondul de pensii, în timp ce 15% este direcționată către alte drepturi de asigurări sociale.</w:t>
      </w:r>
    </w:p>
    <w:p w14:paraId="6D80C013" w14:textId="77777777" w:rsidR="002D0712" w:rsidRDefault="002D0712" w:rsidP="002D0712">
      <w:pPr>
        <w:pStyle w:val="NormalWeb"/>
      </w:pPr>
      <w:r>
        <w:t>Așadar, în realitate, contribuția unui avocat la fondul de pensii este de 9,35% din venitul brut. În ciuda contribuției mici, pensia maximă la care poate ajunge un avocat este de 6940 lei impozabili.</w:t>
      </w:r>
    </w:p>
    <w:p w14:paraId="7F5577D5" w14:textId="77777777" w:rsidR="002D0712" w:rsidRDefault="002D0712" w:rsidP="002D0712">
      <w:pPr>
        <w:pStyle w:val="NormalWeb"/>
      </w:pPr>
      <w:r>
        <w:t>Comparând aceste cifre cu sistemul public, constatăm că avocații sunt într-un mare avantaj pentru că în ciuda unei contribuții de 24,5% la sistemul public de pensii, niciodată un pensionar în acest sistem nu poate ajunge la pensia maximă a unui avocat (dacă facem abstracție de pensiile speciale și de cele de serviciu). Cu alte cuvinte, un profesor universitar sau un medic nu pot în acest moment beneficia de o asemenea pensie (poate vor putea în viitor).</w:t>
      </w:r>
    </w:p>
    <w:p w14:paraId="0CE32BFB" w14:textId="77777777" w:rsidR="002D0712" w:rsidRDefault="002D0712" w:rsidP="002D0712">
      <w:pPr>
        <w:pStyle w:val="NormalWeb"/>
      </w:pPr>
      <w:r>
        <w:t>Cu toate acestea, sistemul de pensii are numeroase și grave vulnerabilități. O parte dintre acestea au fost scoase în evidență de raportul KPMG, raport realizat la solicitarea UNBR pentru a evidenția eventuale fraude în sistemul de pensii al avocaților.</w:t>
      </w:r>
    </w:p>
    <w:p w14:paraId="021AEA91" w14:textId="77777777" w:rsidR="002D0712" w:rsidRDefault="002D0712" w:rsidP="002D0712">
      <w:pPr>
        <w:pStyle w:val="NormalWeb"/>
      </w:pPr>
      <w:r>
        <w:t xml:space="preserve">În realitate, pe lângă faptul că raportul nu a constatat nici o fraudă, ci numai câteva înregistrări contabile greșite, trage câteva concluzii referitoare la viabilitatea sistemului în viitor. Fără a intra în amănuntele raportului, mă voi referi doar la concluziile acestuia privind măsurile pe termen scurt ale </w:t>
      </w:r>
      <w:r>
        <w:lastRenderedPageBreak/>
        <w:t>sistemului. Fie se vor reduce pensiile (lucru de neconceput), fie contribuțiile se majorează de la 11% la 14% din venitul brut (aceasta, în condițiile în care, avocații români au cea mai mică contribuție la sistemul propriu de pensii dintre toți avocații europeni).</w:t>
      </w:r>
    </w:p>
    <w:p w14:paraId="5DA580DC" w14:textId="77777777" w:rsidR="002D0712" w:rsidRDefault="002D0712" w:rsidP="002D0712">
      <w:pPr>
        <w:pStyle w:val="NormalWeb"/>
      </w:pPr>
      <w:r>
        <w:t>Ce mai constată raportul, dar nu numai acesta, ci și conducerea CAA?</w:t>
      </w:r>
    </w:p>
    <w:p w14:paraId="314D5D01" w14:textId="77777777" w:rsidR="002D0712" w:rsidRDefault="002D0712" w:rsidP="002D0712">
      <w:pPr>
        <w:pStyle w:val="NormalWeb"/>
      </w:pPr>
      <w:r>
        <w:t>- Că unele filiale nu pot plăti pensiile din contribuțiile avocaților</w:t>
      </w:r>
    </w:p>
    <w:p w14:paraId="7FF5BB1D" w14:textId="77777777" w:rsidR="002D0712" w:rsidRDefault="002D0712" w:rsidP="002D0712">
      <w:pPr>
        <w:pStyle w:val="NormalWeb"/>
      </w:pPr>
      <w:r>
        <w:t>- Că multe filiale au epuizat și contribuția lor la fondul de rezervă plătind pensiile</w:t>
      </w:r>
    </w:p>
    <w:p w14:paraId="111839E1" w14:textId="77777777" w:rsidR="002D0712" w:rsidRDefault="002D0712" w:rsidP="002D0712">
      <w:pPr>
        <w:pStyle w:val="NormalWeb"/>
      </w:pPr>
      <w:r>
        <w:t>- Că la 1 Iulie 2020 doar 15 filiale plăteau fondul de rezervă</w:t>
      </w:r>
    </w:p>
    <w:p w14:paraId="69712768" w14:textId="77777777" w:rsidR="002D0712" w:rsidRDefault="002D0712" w:rsidP="002D0712">
      <w:pPr>
        <w:pStyle w:val="NormalWeb"/>
      </w:pPr>
      <w:r>
        <w:t>- Că în multe barouri sunt foarte mulți avocați restanțieri la plata contribuțiilor la CAA, cu multe luni peste cele trei de la care poate fi aplicată sancțiunea suspendării</w:t>
      </w:r>
    </w:p>
    <w:p w14:paraId="3501A33D" w14:textId="77777777" w:rsidR="002D0712" w:rsidRDefault="002D0712" w:rsidP="002D0712">
      <w:pPr>
        <w:pStyle w:val="NormalWeb"/>
      </w:pPr>
      <w:r>
        <w:t>- Că în foarte multe filiale, epuizându-se fondul de pensii s-a apelat la cei 15% reprezentând alte drepturi de asigurări sociale, încălcându-se astfel dispozițiile Statutului care interzic acest lucru (fondurile fiind specializate)</w:t>
      </w:r>
    </w:p>
    <w:p w14:paraId="1AE02890" w14:textId="77777777" w:rsidR="002D0712" w:rsidRDefault="002D0712" w:rsidP="002D0712">
      <w:pPr>
        <w:pStyle w:val="NormalWeb"/>
      </w:pPr>
      <w:r>
        <w:t>- Că există un paralelism între consiliile de conducere ale filialelor și Consiliul de Administrație al C.A.A, care scoate în evidență ineficacitatea sistemului de conducere al Casei</w:t>
      </w:r>
    </w:p>
    <w:p w14:paraId="2480E824" w14:textId="77777777" w:rsidR="002D0712" w:rsidRDefault="002D0712" w:rsidP="002D0712">
      <w:pPr>
        <w:pStyle w:val="NormalWeb"/>
      </w:pPr>
      <w:r>
        <w:t xml:space="preserve">- Că nu se pot face investiții, deși toată lumea le dorește în ultimul timp, inclusiv cei care acum câțiva ani se opuneau, inclusiv din fondurile de pensii ale filialelor. Pentru a se face acest lucru, ar fi nevoie ca toate aceste fonduri de pensii să fie unificate </w:t>
      </w:r>
      <w:proofErr w:type="spellStart"/>
      <w:r>
        <w:t>într</w:t>
      </w:r>
      <w:proofErr w:type="spellEnd"/>
      <w:r>
        <w:t>-unul singur, pentru ca investițiile să crească valoarea întregului sistem, astfel încât să se poată majora pensiile, nu numai din contribuții, dar și din randamentul investițiilor.</w:t>
      </w:r>
    </w:p>
    <w:p w14:paraId="00568007" w14:textId="77777777" w:rsidR="002D0712" w:rsidRDefault="002D0712" w:rsidP="002D0712">
      <w:pPr>
        <w:pStyle w:val="NormalWeb"/>
      </w:pPr>
      <w:r>
        <w:t xml:space="preserve">În prezent, singura  investiție imobiliară este făcută de CAA, din fondul de funcționare, dar al cărui profit nu sporește valoarea fondului de pensii, capitalizându-se la nivelul CAA (este vorba de Complexul Corpore </w:t>
      </w:r>
      <w:proofErr w:type="spellStart"/>
      <w:r>
        <w:t>Sano</w:t>
      </w:r>
      <w:proofErr w:type="spellEnd"/>
      <w:r>
        <w:t>). În continuare, pentru ca avocații să beneficieze de investiții, ar trebui investit o parte din fondul de pensii printr-o politică prudențială care să dea posibilitatea,  pe de o parte, menținerii contribuției avocaților la sistem într-un cuantum rezonabil, fără creșteri, iar pe de altă parte asigurarea creșterii pensiilor din sporul adus de profitul din investiții. Acest lucru este imposibil în momentul de față pentru că sunt filiale care nu mai au niciun ban la fondul de pensii. Prin urmare, nu pot investi. Pe de altă parte, ar însemna ca fiecare filială să investească separat, lucru inutil, întrucât nu vor putea majora pensiile numai pe filiale, valoarea pensiei fiind una singură pe întregul sistem.</w:t>
      </w:r>
    </w:p>
    <w:p w14:paraId="117A42F2" w14:textId="77777777" w:rsidR="002D0712" w:rsidRDefault="002D0712" w:rsidP="002D0712">
      <w:pPr>
        <w:pStyle w:val="NormalWeb"/>
      </w:pPr>
      <w:r>
        <w:t>Disciplina financiară este una care lasă de dorit, foarte multe filiale refuzând aplicarea programului informatizat deși există numeroase hotărâri în acest sens. Din acest punct de vedere, centralizarea sistemului ar lua de pe umerii decanului presiunea măsurilor de sancționare, transmițând-o către un singur organ de conducere (Consiliul CAA), care ar putea aplica unitar aceste măsuri.</w:t>
      </w:r>
    </w:p>
    <w:p w14:paraId="1A66EC73" w14:textId="77777777" w:rsidR="002D0712" w:rsidRDefault="002D0712" w:rsidP="002D0712">
      <w:pPr>
        <w:pStyle w:val="NormalWeb"/>
      </w:pPr>
      <w:r>
        <w:t>Concluzia o putem trage cu toții, după ce un program privind evoluția viitoare a sistemului de pensii al avocaților români va fi supus dezbaterii corpului profesional.</w:t>
      </w:r>
    </w:p>
    <w:p w14:paraId="7989B1E6" w14:textId="77777777" w:rsidR="002D0712" w:rsidRDefault="002D0712" w:rsidP="002D0712">
      <w:pPr>
        <w:pStyle w:val="NormalWeb"/>
      </w:pPr>
      <w:r>
        <w:t>Personal, văzând și starea actuală a sistemelor de pensie ale avocaților din Europa, cred că numai un sistem centralizat poate garanta stabilitate și pensii mai mari pentru avocați.</w:t>
      </w:r>
    </w:p>
    <w:p w14:paraId="0D158388" w14:textId="785E87E6" w:rsidR="00373C55" w:rsidRPr="002D0712" w:rsidRDefault="00373C55" w:rsidP="002D0712"/>
    <w:sectPr w:rsidR="00373C55" w:rsidRPr="002D0712" w:rsidSect="00292163">
      <w:footerReference w:type="default" r:id="rId7"/>
      <w:pgSz w:w="11906" w:h="16838"/>
      <w:pgMar w:top="900" w:right="746" w:bottom="117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1DA5B" w14:textId="77777777" w:rsidR="002D0712" w:rsidRDefault="002D0712" w:rsidP="002D0712">
      <w:pPr>
        <w:spacing w:after="0" w:line="240" w:lineRule="auto"/>
      </w:pPr>
      <w:r>
        <w:separator/>
      </w:r>
    </w:p>
  </w:endnote>
  <w:endnote w:type="continuationSeparator" w:id="0">
    <w:p w14:paraId="6AD38B6F" w14:textId="77777777" w:rsidR="002D0712" w:rsidRDefault="002D0712" w:rsidP="002D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Arial-Bold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6080215"/>
      <w:docPartObj>
        <w:docPartGallery w:val="Page Numbers (Bottom of Page)"/>
        <w:docPartUnique/>
      </w:docPartObj>
    </w:sdtPr>
    <w:sdtEndPr>
      <w:rPr>
        <w:noProof/>
      </w:rPr>
    </w:sdtEndPr>
    <w:sdtContent>
      <w:p w14:paraId="4C0C2B42" w14:textId="181197E1" w:rsidR="002D0712" w:rsidRDefault="002D07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DAF7DD" w14:textId="77777777" w:rsidR="002D0712" w:rsidRDefault="002D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3AF98" w14:textId="77777777" w:rsidR="002D0712" w:rsidRDefault="002D0712" w:rsidP="002D0712">
      <w:pPr>
        <w:spacing w:after="0" w:line="240" w:lineRule="auto"/>
      </w:pPr>
      <w:r>
        <w:separator/>
      </w:r>
    </w:p>
  </w:footnote>
  <w:footnote w:type="continuationSeparator" w:id="0">
    <w:p w14:paraId="6D0BBE40" w14:textId="77777777" w:rsidR="002D0712" w:rsidRDefault="002D0712" w:rsidP="002D0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39B4"/>
    <w:multiLevelType w:val="hybridMultilevel"/>
    <w:tmpl w:val="F72C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E7542"/>
    <w:multiLevelType w:val="multilevel"/>
    <w:tmpl w:val="59C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7720D"/>
    <w:multiLevelType w:val="multilevel"/>
    <w:tmpl w:val="6840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37432"/>
    <w:multiLevelType w:val="hybridMultilevel"/>
    <w:tmpl w:val="94FCF622"/>
    <w:lvl w:ilvl="0" w:tplc="196ED324">
      <w:start w:val="8"/>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23257F2C"/>
    <w:multiLevelType w:val="multilevel"/>
    <w:tmpl w:val="1224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11B69"/>
    <w:multiLevelType w:val="hybridMultilevel"/>
    <w:tmpl w:val="751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F5378"/>
    <w:multiLevelType w:val="hybridMultilevel"/>
    <w:tmpl w:val="43E4F4EE"/>
    <w:lvl w:ilvl="0" w:tplc="655E235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3AC0048"/>
    <w:multiLevelType w:val="hybridMultilevel"/>
    <w:tmpl w:val="1B6C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42EC8"/>
    <w:multiLevelType w:val="hybridMultilevel"/>
    <w:tmpl w:val="8ED61CF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3BC35B91"/>
    <w:multiLevelType w:val="hybridMultilevel"/>
    <w:tmpl w:val="46BE47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544CFC"/>
    <w:multiLevelType w:val="hybridMultilevel"/>
    <w:tmpl w:val="CC766872"/>
    <w:lvl w:ilvl="0" w:tplc="707A8722">
      <w:start w:val="8"/>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3097C6E"/>
    <w:multiLevelType w:val="multilevel"/>
    <w:tmpl w:val="AE42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B72AE0"/>
    <w:multiLevelType w:val="hybridMultilevel"/>
    <w:tmpl w:val="A7D0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A25893"/>
    <w:multiLevelType w:val="hybridMultilevel"/>
    <w:tmpl w:val="08CA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87844"/>
    <w:multiLevelType w:val="hybridMultilevel"/>
    <w:tmpl w:val="288E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596364"/>
    <w:multiLevelType w:val="hybridMultilevel"/>
    <w:tmpl w:val="809A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A43E9"/>
    <w:multiLevelType w:val="hybridMultilevel"/>
    <w:tmpl w:val="832C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F5AE0"/>
    <w:multiLevelType w:val="hybridMultilevel"/>
    <w:tmpl w:val="6A04B9B6"/>
    <w:lvl w:ilvl="0" w:tplc="0418000F">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79492B96"/>
    <w:multiLevelType w:val="hybridMultilevel"/>
    <w:tmpl w:val="BA18B7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BB09CF"/>
    <w:multiLevelType w:val="multilevel"/>
    <w:tmpl w:val="F582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E424C1"/>
    <w:multiLevelType w:val="hybridMultilevel"/>
    <w:tmpl w:val="D0C8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0D33F7"/>
    <w:multiLevelType w:val="hybridMultilevel"/>
    <w:tmpl w:val="38300376"/>
    <w:lvl w:ilvl="0" w:tplc="5DD428C4">
      <w:start w:val="1"/>
      <w:numFmt w:val="upperLetter"/>
      <w:lvlText w:val="%1."/>
      <w:lvlJc w:val="left"/>
      <w:pPr>
        <w:ind w:left="720" w:hanging="360"/>
      </w:pPr>
      <w:rPr>
        <w:rFonts w:ascii="TimesNewRomanPS-BoldItalicMT" w:hAnsi="TimesNewRomanPS-BoldItalicMT" w:cs="Times New Roman" w:hint="default"/>
        <w:i/>
        <w:sz w:val="24"/>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1"/>
  </w:num>
  <w:num w:numId="2">
    <w:abstractNumId w:val="8"/>
  </w:num>
  <w:num w:numId="3">
    <w:abstractNumId w:val="17"/>
  </w:num>
  <w:num w:numId="4">
    <w:abstractNumId w:val="2"/>
  </w:num>
  <w:num w:numId="5">
    <w:abstractNumId w:val="1"/>
  </w:num>
  <w:num w:numId="6">
    <w:abstractNumId w:val="4"/>
  </w:num>
  <w:num w:numId="7">
    <w:abstractNumId w:val="19"/>
  </w:num>
  <w:num w:numId="8">
    <w:abstractNumId w:val="11"/>
  </w:num>
  <w:num w:numId="9">
    <w:abstractNumId w:val="3"/>
  </w:num>
  <w:num w:numId="10">
    <w:abstractNumId w:val="10"/>
  </w:num>
  <w:num w:numId="11">
    <w:abstractNumId w:val="18"/>
  </w:num>
  <w:num w:numId="12">
    <w:abstractNumId w:val="9"/>
  </w:num>
  <w:num w:numId="13">
    <w:abstractNumId w:val="12"/>
  </w:num>
  <w:num w:numId="14">
    <w:abstractNumId w:val="6"/>
  </w:num>
  <w:num w:numId="15">
    <w:abstractNumId w:val="20"/>
  </w:num>
  <w:num w:numId="16">
    <w:abstractNumId w:val="7"/>
  </w:num>
  <w:num w:numId="17">
    <w:abstractNumId w:val="13"/>
  </w:num>
  <w:num w:numId="18">
    <w:abstractNumId w:val="16"/>
  </w:num>
  <w:num w:numId="19">
    <w:abstractNumId w:val="14"/>
  </w:num>
  <w:num w:numId="20">
    <w:abstractNumId w:val="15"/>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54"/>
    <w:rsid w:val="00013528"/>
    <w:rsid w:val="00040AC7"/>
    <w:rsid w:val="00050009"/>
    <w:rsid w:val="00056C4E"/>
    <w:rsid w:val="00061466"/>
    <w:rsid w:val="00097A1A"/>
    <w:rsid w:val="000A33FB"/>
    <w:rsid w:val="000A7D85"/>
    <w:rsid w:val="000C7F70"/>
    <w:rsid w:val="000D5DD2"/>
    <w:rsid w:val="000E02BB"/>
    <w:rsid w:val="000F68FE"/>
    <w:rsid w:val="00114E22"/>
    <w:rsid w:val="001319EE"/>
    <w:rsid w:val="0014760B"/>
    <w:rsid w:val="001520C5"/>
    <w:rsid w:val="00174796"/>
    <w:rsid w:val="001A6650"/>
    <w:rsid w:val="001B3E15"/>
    <w:rsid w:val="001B5B48"/>
    <w:rsid w:val="001C2314"/>
    <w:rsid w:val="001D6727"/>
    <w:rsid w:val="001E1BBA"/>
    <w:rsid w:val="001F2534"/>
    <w:rsid w:val="001F388C"/>
    <w:rsid w:val="001F5C46"/>
    <w:rsid w:val="00202868"/>
    <w:rsid w:val="00210707"/>
    <w:rsid w:val="002115CF"/>
    <w:rsid w:val="00220112"/>
    <w:rsid w:val="00223287"/>
    <w:rsid w:val="00227028"/>
    <w:rsid w:val="00236858"/>
    <w:rsid w:val="00240DE2"/>
    <w:rsid w:val="00243734"/>
    <w:rsid w:val="00250DC8"/>
    <w:rsid w:val="0025707D"/>
    <w:rsid w:val="00257C27"/>
    <w:rsid w:val="00263BE4"/>
    <w:rsid w:val="002658F3"/>
    <w:rsid w:val="00276674"/>
    <w:rsid w:val="00282CF3"/>
    <w:rsid w:val="00292163"/>
    <w:rsid w:val="002A02A0"/>
    <w:rsid w:val="002A1293"/>
    <w:rsid w:val="002A2592"/>
    <w:rsid w:val="002A4ABD"/>
    <w:rsid w:val="002B06FE"/>
    <w:rsid w:val="002B2DE0"/>
    <w:rsid w:val="002B79A9"/>
    <w:rsid w:val="002C6500"/>
    <w:rsid w:val="002D0712"/>
    <w:rsid w:val="002D1088"/>
    <w:rsid w:val="002E6825"/>
    <w:rsid w:val="002F537C"/>
    <w:rsid w:val="00300256"/>
    <w:rsid w:val="003011C9"/>
    <w:rsid w:val="00306D9B"/>
    <w:rsid w:val="003123DC"/>
    <w:rsid w:val="003168F6"/>
    <w:rsid w:val="003252B7"/>
    <w:rsid w:val="00326454"/>
    <w:rsid w:val="00335656"/>
    <w:rsid w:val="003360D5"/>
    <w:rsid w:val="00346B5F"/>
    <w:rsid w:val="00354374"/>
    <w:rsid w:val="00373641"/>
    <w:rsid w:val="00373C55"/>
    <w:rsid w:val="00376C4D"/>
    <w:rsid w:val="00381262"/>
    <w:rsid w:val="00382C8C"/>
    <w:rsid w:val="003853E6"/>
    <w:rsid w:val="003859C0"/>
    <w:rsid w:val="003B454E"/>
    <w:rsid w:val="003F35D6"/>
    <w:rsid w:val="00411DE2"/>
    <w:rsid w:val="00417E5F"/>
    <w:rsid w:val="00424777"/>
    <w:rsid w:val="00424B18"/>
    <w:rsid w:val="00437DB5"/>
    <w:rsid w:val="00440BC6"/>
    <w:rsid w:val="00444E6A"/>
    <w:rsid w:val="00450FE6"/>
    <w:rsid w:val="00451C39"/>
    <w:rsid w:val="00451E8D"/>
    <w:rsid w:val="00463B12"/>
    <w:rsid w:val="00473307"/>
    <w:rsid w:val="00474009"/>
    <w:rsid w:val="00474FE8"/>
    <w:rsid w:val="004867BC"/>
    <w:rsid w:val="00486F8C"/>
    <w:rsid w:val="004915A0"/>
    <w:rsid w:val="00492B12"/>
    <w:rsid w:val="004A429F"/>
    <w:rsid w:val="004B06AA"/>
    <w:rsid w:val="004B0D24"/>
    <w:rsid w:val="004B69CB"/>
    <w:rsid w:val="004C724C"/>
    <w:rsid w:val="004F1D08"/>
    <w:rsid w:val="004F4E1C"/>
    <w:rsid w:val="004F75F5"/>
    <w:rsid w:val="00505987"/>
    <w:rsid w:val="00505CCD"/>
    <w:rsid w:val="00510A6B"/>
    <w:rsid w:val="00512A77"/>
    <w:rsid w:val="00516766"/>
    <w:rsid w:val="00521234"/>
    <w:rsid w:val="00531FC8"/>
    <w:rsid w:val="0054106B"/>
    <w:rsid w:val="005414F0"/>
    <w:rsid w:val="00580463"/>
    <w:rsid w:val="00590CBD"/>
    <w:rsid w:val="005943C8"/>
    <w:rsid w:val="005A6E13"/>
    <w:rsid w:val="005B1FF7"/>
    <w:rsid w:val="005B6A40"/>
    <w:rsid w:val="005B7371"/>
    <w:rsid w:val="005C0040"/>
    <w:rsid w:val="005E16D6"/>
    <w:rsid w:val="005E7D5B"/>
    <w:rsid w:val="005F369D"/>
    <w:rsid w:val="005F5D88"/>
    <w:rsid w:val="005F6C13"/>
    <w:rsid w:val="00612147"/>
    <w:rsid w:val="0061300E"/>
    <w:rsid w:val="00615E7C"/>
    <w:rsid w:val="00617B2B"/>
    <w:rsid w:val="006315B2"/>
    <w:rsid w:val="00634D48"/>
    <w:rsid w:val="006537D2"/>
    <w:rsid w:val="006625C5"/>
    <w:rsid w:val="00662BFD"/>
    <w:rsid w:val="00663A22"/>
    <w:rsid w:val="00684831"/>
    <w:rsid w:val="006938B3"/>
    <w:rsid w:val="006A025E"/>
    <w:rsid w:val="006F0E4D"/>
    <w:rsid w:val="007050B2"/>
    <w:rsid w:val="00705173"/>
    <w:rsid w:val="00705915"/>
    <w:rsid w:val="00707D67"/>
    <w:rsid w:val="00722CE0"/>
    <w:rsid w:val="00737293"/>
    <w:rsid w:val="00745E86"/>
    <w:rsid w:val="00746148"/>
    <w:rsid w:val="00746CA9"/>
    <w:rsid w:val="00747776"/>
    <w:rsid w:val="00747CE6"/>
    <w:rsid w:val="007542CA"/>
    <w:rsid w:val="00755458"/>
    <w:rsid w:val="007566B7"/>
    <w:rsid w:val="00762597"/>
    <w:rsid w:val="00770674"/>
    <w:rsid w:val="00795798"/>
    <w:rsid w:val="007A68B5"/>
    <w:rsid w:val="007A7F70"/>
    <w:rsid w:val="007B1D2B"/>
    <w:rsid w:val="007B7746"/>
    <w:rsid w:val="007D7D74"/>
    <w:rsid w:val="007E6196"/>
    <w:rsid w:val="00830BDD"/>
    <w:rsid w:val="00831690"/>
    <w:rsid w:val="00832687"/>
    <w:rsid w:val="00833994"/>
    <w:rsid w:val="00834FED"/>
    <w:rsid w:val="008451B7"/>
    <w:rsid w:val="00855D78"/>
    <w:rsid w:val="00861074"/>
    <w:rsid w:val="008611C7"/>
    <w:rsid w:val="00861299"/>
    <w:rsid w:val="008A3D1A"/>
    <w:rsid w:val="008A3F0A"/>
    <w:rsid w:val="008A5351"/>
    <w:rsid w:val="008C0C76"/>
    <w:rsid w:val="008D13AF"/>
    <w:rsid w:val="008D15B7"/>
    <w:rsid w:val="008D3293"/>
    <w:rsid w:val="008D5699"/>
    <w:rsid w:val="008E214E"/>
    <w:rsid w:val="008E7AD4"/>
    <w:rsid w:val="008F15BA"/>
    <w:rsid w:val="00901CCF"/>
    <w:rsid w:val="00903DF6"/>
    <w:rsid w:val="00905FB3"/>
    <w:rsid w:val="0091551B"/>
    <w:rsid w:val="009164AA"/>
    <w:rsid w:val="009441E1"/>
    <w:rsid w:val="009514B9"/>
    <w:rsid w:val="009524ED"/>
    <w:rsid w:val="0095766B"/>
    <w:rsid w:val="00962809"/>
    <w:rsid w:val="00966A4B"/>
    <w:rsid w:val="009670C1"/>
    <w:rsid w:val="0097388E"/>
    <w:rsid w:val="00983B2C"/>
    <w:rsid w:val="00985075"/>
    <w:rsid w:val="00990F02"/>
    <w:rsid w:val="009B43A1"/>
    <w:rsid w:val="009C1A53"/>
    <w:rsid w:val="009C5CB0"/>
    <w:rsid w:val="009D50B3"/>
    <w:rsid w:val="009E0DE0"/>
    <w:rsid w:val="009E1741"/>
    <w:rsid w:val="009E34CB"/>
    <w:rsid w:val="009E4DFD"/>
    <w:rsid w:val="009F4701"/>
    <w:rsid w:val="009F4CEB"/>
    <w:rsid w:val="00A05E74"/>
    <w:rsid w:val="00A07A4F"/>
    <w:rsid w:val="00A10881"/>
    <w:rsid w:val="00A25A17"/>
    <w:rsid w:val="00A263CE"/>
    <w:rsid w:val="00A26534"/>
    <w:rsid w:val="00A6102A"/>
    <w:rsid w:val="00A62F40"/>
    <w:rsid w:val="00A67315"/>
    <w:rsid w:val="00A8488D"/>
    <w:rsid w:val="00A90234"/>
    <w:rsid w:val="00A903C9"/>
    <w:rsid w:val="00AD7144"/>
    <w:rsid w:val="00AE35B0"/>
    <w:rsid w:val="00AF41B7"/>
    <w:rsid w:val="00AF7CE0"/>
    <w:rsid w:val="00B05D91"/>
    <w:rsid w:val="00B07A24"/>
    <w:rsid w:val="00B11111"/>
    <w:rsid w:val="00B13599"/>
    <w:rsid w:val="00B146A5"/>
    <w:rsid w:val="00B16742"/>
    <w:rsid w:val="00B228AD"/>
    <w:rsid w:val="00B231B2"/>
    <w:rsid w:val="00B36F02"/>
    <w:rsid w:val="00B43549"/>
    <w:rsid w:val="00B477EC"/>
    <w:rsid w:val="00B637D3"/>
    <w:rsid w:val="00B65011"/>
    <w:rsid w:val="00B72C94"/>
    <w:rsid w:val="00B76CE1"/>
    <w:rsid w:val="00B96C08"/>
    <w:rsid w:val="00BA28AF"/>
    <w:rsid w:val="00BB035E"/>
    <w:rsid w:val="00BB326A"/>
    <w:rsid w:val="00BB7953"/>
    <w:rsid w:val="00BC214E"/>
    <w:rsid w:val="00BC2661"/>
    <w:rsid w:val="00BC3ABF"/>
    <w:rsid w:val="00BC48C6"/>
    <w:rsid w:val="00BC5484"/>
    <w:rsid w:val="00BE4729"/>
    <w:rsid w:val="00BE6BB3"/>
    <w:rsid w:val="00C02A7C"/>
    <w:rsid w:val="00C11E44"/>
    <w:rsid w:val="00C165F5"/>
    <w:rsid w:val="00C309A2"/>
    <w:rsid w:val="00C343B0"/>
    <w:rsid w:val="00C35232"/>
    <w:rsid w:val="00C443EB"/>
    <w:rsid w:val="00C452CC"/>
    <w:rsid w:val="00C50D48"/>
    <w:rsid w:val="00C5749E"/>
    <w:rsid w:val="00C65915"/>
    <w:rsid w:val="00C90C7C"/>
    <w:rsid w:val="00C90DCB"/>
    <w:rsid w:val="00C95192"/>
    <w:rsid w:val="00C97D38"/>
    <w:rsid w:val="00CA05D5"/>
    <w:rsid w:val="00CA1DD0"/>
    <w:rsid w:val="00CB13E7"/>
    <w:rsid w:val="00CC1AC1"/>
    <w:rsid w:val="00CE6A36"/>
    <w:rsid w:val="00CF0D4D"/>
    <w:rsid w:val="00D00090"/>
    <w:rsid w:val="00D13954"/>
    <w:rsid w:val="00D24ED0"/>
    <w:rsid w:val="00D56635"/>
    <w:rsid w:val="00D66975"/>
    <w:rsid w:val="00D7475D"/>
    <w:rsid w:val="00D80899"/>
    <w:rsid w:val="00D82ABB"/>
    <w:rsid w:val="00D84067"/>
    <w:rsid w:val="00D842F6"/>
    <w:rsid w:val="00D93AE4"/>
    <w:rsid w:val="00DB7108"/>
    <w:rsid w:val="00DC4086"/>
    <w:rsid w:val="00DC6C41"/>
    <w:rsid w:val="00DC73B5"/>
    <w:rsid w:val="00DD1B4B"/>
    <w:rsid w:val="00DD686E"/>
    <w:rsid w:val="00E02F04"/>
    <w:rsid w:val="00E06428"/>
    <w:rsid w:val="00E11526"/>
    <w:rsid w:val="00E129A5"/>
    <w:rsid w:val="00E1603B"/>
    <w:rsid w:val="00E16148"/>
    <w:rsid w:val="00E31EC5"/>
    <w:rsid w:val="00E44F29"/>
    <w:rsid w:val="00E52B4D"/>
    <w:rsid w:val="00E61C6C"/>
    <w:rsid w:val="00E7289E"/>
    <w:rsid w:val="00E75535"/>
    <w:rsid w:val="00E76AC8"/>
    <w:rsid w:val="00E91F47"/>
    <w:rsid w:val="00EA335A"/>
    <w:rsid w:val="00EB3C91"/>
    <w:rsid w:val="00EC582B"/>
    <w:rsid w:val="00EC5C08"/>
    <w:rsid w:val="00ED5C44"/>
    <w:rsid w:val="00EF1824"/>
    <w:rsid w:val="00EF1E25"/>
    <w:rsid w:val="00EF3902"/>
    <w:rsid w:val="00F01D8A"/>
    <w:rsid w:val="00F02190"/>
    <w:rsid w:val="00F12E14"/>
    <w:rsid w:val="00F13131"/>
    <w:rsid w:val="00F20C9B"/>
    <w:rsid w:val="00F20E59"/>
    <w:rsid w:val="00F426DE"/>
    <w:rsid w:val="00F54A4F"/>
    <w:rsid w:val="00F56507"/>
    <w:rsid w:val="00F60B59"/>
    <w:rsid w:val="00F63749"/>
    <w:rsid w:val="00F653C3"/>
    <w:rsid w:val="00F65FAA"/>
    <w:rsid w:val="00F71746"/>
    <w:rsid w:val="00F7339D"/>
    <w:rsid w:val="00F80729"/>
    <w:rsid w:val="00F86134"/>
    <w:rsid w:val="00F87E97"/>
    <w:rsid w:val="00FB4069"/>
    <w:rsid w:val="00FB52D1"/>
    <w:rsid w:val="00FD2EDF"/>
    <w:rsid w:val="00FF1526"/>
    <w:rsid w:val="00FF5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582CF"/>
  <w15:docId w15:val="{F0743C91-52A0-3E4A-BAB2-9382AAE4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D6"/>
    <w:pPr>
      <w:spacing w:after="160" w:line="259" w:lineRule="auto"/>
    </w:pPr>
    <w:rPr>
      <w:lang w:val="ro-RO" w:eastAsia="en-US"/>
    </w:rPr>
  </w:style>
  <w:style w:type="paragraph" w:styleId="Heading4">
    <w:name w:val="heading 4"/>
    <w:basedOn w:val="Normal"/>
    <w:next w:val="Normal"/>
    <w:link w:val="Heading4Char"/>
    <w:uiPriority w:val="99"/>
    <w:qFormat/>
    <w:rsid w:val="008D15B7"/>
    <w:pPr>
      <w:keepNext/>
      <w:keepLines/>
      <w:spacing w:before="40" w:after="0"/>
      <w:outlineLvl w:val="3"/>
    </w:pPr>
    <w:rPr>
      <w:rFonts w:ascii="Calibri Light" w:eastAsia="Malgun Gothic"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8D15B7"/>
    <w:rPr>
      <w:rFonts w:ascii="Calibri Light" w:eastAsia="Malgun Gothic" w:hAnsi="Calibri Light" w:cs="Times New Roman"/>
      <w:i/>
      <w:iCs/>
      <w:color w:val="2E74B5"/>
    </w:rPr>
  </w:style>
  <w:style w:type="character" w:customStyle="1" w:styleId="fontstyle01">
    <w:name w:val="fontstyle01"/>
    <w:basedOn w:val="DefaultParagraphFont"/>
    <w:uiPriority w:val="99"/>
    <w:rsid w:val="00326454"/>
    <w:rPr>
      <w:rFonts w:ascii="Arial-BoldMT" w:hAnsi="Arial-BoldMT" w:cs="Times New Roman"/>
      <w:b/>
      <w:bCs/>
      <w:color w:val="000080"/>
      <w:sz w:val="20"/>
      <w:szCs w:val="20"/>
    </w:rPr>
  </w:style>
  <w:style w:type="character" w:customStyle="1" w:styleId="fontstyle21">
    <w:name w:val="fontstyle21"/>
    <w:basedOn w:val="DefaultParagraphFont"/>
    <w:uiPriority w:val="99"/>
    <w:rsid w:val="00326454"/>
    <w:rPr>
      <w:rFonts w:ascii="TimesNewRomanPS-BoldItalicMT" w:hAnsi="TimesNewRomanPS-BoldItalicMT" w:cs="Times New Roman"/>
      <w:b/>
      <w:bCs/>
      <w:i/>
      <w:iCs/>
      <w:color w:val="000080"/>
      <w:sz w:val="24"/>
      <w:szCs w:val="24"/>
    </w:rPr>
  </w:style>
  <w:style w:type="character" w:customStyle="1" w:styleId="fontstyle31">
    <w:name w:val="fontstyle31"/>
    <w:basedOn w:val="DefaultParagraphFont"/>
    <w:uiPriority w:val="99"/>
    <w:rsid w:val="00326454"/>
    <w:rPr>
      <w:rFonts w:ascii="TimesNewRomanPS-BoldMT" w:hAnsi="TimesNewRomanPS-BoldMT" w:cs="Times New Roman"/>
      <w:b/>
      <w:bCs/>
      <w:color w:val="000080"/>
      <w:sz w:val="22"/>
      <w:szCs w:val="22"/>
    </w:rPr>
  </w:style>
  <w:style w:type="paragraph" w:styleId="ListParagraph">
    <w:name w:val="List Paragraph"/>
    <w:basedOn w:val="Normal"/>
    <w:uiPriority w:val="34"/>
    <w:qFormat/>
    <w:rsid w:val="00326454"/>
    <w:pPr>
      <w:ind w:left="720"/>
      <w:contextualSpacing/>
    </w:pPr>
  </w:style>
  <w:style w:type="paragraph" w:styleId="NormalWeb">
    <w:name w:val="Normal (Web)"/>
    <w:basedOn w:val="Normal"/>
    <w:uiPriority w:val="99"/>
    <w:rsid w:val="002A1293"/>
    <w:pPr>
      <w:spacing w:before="100" w:beforeAutospacing="1" w:after="100" w:afterAutospacing="1" w:line="240" w:lineRule="auto"/>
    </w:pPr>
    <w:rPr>
      <w:rFonts w:ascii="Times New Roman" w:eastAsia="Times New Roman" w:hAnsi="Times New Roman"/>
      <w:sz w:val="24"/>
      <w:szCs w:val="24"/>
      <w:lang w:eastAsia="ro-RO"/>
    </w:rPr>
  </w:style>
  <w:style w:type="character" w:styleId="Strong">
    <w:name w:val="Strong"/>
    <w:basedOn w:val="DefaultParagraphFont"/>
    <w:uiPriority w:val="22"/>
    <w:qFormat/>
    <w:locked/>
    <w:rsid w:val="002D0712"/>
    <w:rPr>
      <w:b/>
      <w:bCs/>
    </w:rPr>
  </w:style>
  <w:style w:type="paragraph" w:styleId="Header">
    <w:name w:val="header"/>
    <w:basedOn w:val="Normal"/>
    <w:link w:val="HeaderChar"/>
    <w:uiPriority w:val="99"/>
    <w:unhideWhenUsed/>
    <w:rsid w:val="002D07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712"/>
    <w:rPr>
      <w:lang w:val="ro-RO" w:eastAsia="en-US"/>
    </w:rPr>
  </w:style>
  <w:style w:type="paragraph" w:styleId="Footer">
    <w:name w:val="footer"/>
    <w:basedOn w:val="Normal"/>
    <w:link w:val="FooterChar"/>
    <w:uiPriority w:val="99"/>
    <w:unhideWhenUsed/>
    <w:rsid w:val="002D0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712"/>
    <w:rPr>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371010">
      <w:bodyDiv w:val="1"/>
      <w:marLeft w:val="0"/>
      <w:marRight w:val="0"/>
      <w:marTop w:val="0"/>
      <w:marBottom w:val="0"/>
      <w:divBdr>
        <w:top w:val="none" w:sz="0" w:space="0" w:color="auto"/>
        <w:left w:val="none" w:sz="0" w:space="0" w:color="auto"/>
        <w:bottom w:val="none" w:sz="0" w:space="0" w:color="auto"/>
        <w:right w:val="none" w:sz="0" w:space="0" w:color="auto"/>
      </w:divBdr>
    </w:div>
    <w:div w:id="1214270110">
      <w:bodyDiv w:val="1"/>
      <w:marLeft w:val="0"/>
      <w:marRight w:val="0"/>
      <w:marTop w:val="0"/>
      <w:marBottom w:val="0"/>
      <w:divBdr>
        <w:top w:val="none" w:sz="0" w:space="0" w:color="auto"/>
        <w:left w:val="none" w:sz="0" w:space="0" w:color="auto"/>
        <w:bottom w:val="none" w:sz="0" w:space="0" w:color="auto"/>
        <w:right w:val="none" w:sz="0" w:space="0" w:color="auto"/>
      </w:divBdr>
    </w:div>
    <w:div w:id="1887450189">
      <w:marLeft w:val="0"/>
      <w:marRight w:val="0"/>
      <w:marTop w:val="0"/>
      <w:marBottom w:val="0"/>
      <w:divBdr>
        <w:top w:val="none" w:sz="0" w:space="0" w:color="auto"/>
        <w:left w:val="none" w:sz="0" w:space="0" w:color="auto"/>
        <w:bottom w:val="none" w:sz="0" w:space="0" w:color="auto"/>
        <w:right w:val="none" w:sz="0" w:space="0" w:color="auto"/>
      </w:divBdr>
    </w:div>
    <w:div w:id="1887450190">
      <w:marLeft w:val="0"/>
      <w:marRight w:val="0"/>
      <w:marTop w:val="0"/>
      <w:marBottom w:val="0"/>
      <w:divBdr>
        <w:top w:val="none" w:sz="0" w:space="0" w:color="auto"/>
        <w:left w:val="none" w:sz="0" w:space="0" w:color="auto"/>
        <w:bottom w:val="none" w:sz="0" w:space="0" w:color="auto"/>
        <w:right w:val="none" w:sz="0" w:space="0" w:color="auto"/>
      </w:divBdr>
    </w:div>
    <w:div w:id="1887450193">
      <w:marLeft w:val="0"/>
      <w:marRight w:val="0"/>
      <w:marTop w:val="0"/>
      <w:marBottom w:val="0"/>
      <w:divBdr>
        <w:top w:val="none" w:sz="0" w:space="0" w:color="auto"/>
        <w:left w:val="none" w:sz="0" w:space="0" w:color="auto"/>
        <w:bottom w:val="none" w:sz="0" w:space="0" w:color="auto"/>
        <w:right w:val="none" w:sz="0" w:space="0" w:color="auto"/>
      </w:divBdr>
    </w:div>
    <w:div w:id="1887450194">
      <w:marLeft w:val="0"/>
      <w:marRight w:val="0"/>
      <w:marTop w:val="0"/>
      <w:marBottom w:val="0"/>
      <w:divBdr>
        <w:top w:val="none" w:sz="0" w:space="0" w:color="auto"/>
        <w:left w:val="none" w:sz="0" w:space="0" w:color="auto"/>
        <w:bottom w:val="none" w:sz="0" w:space="0" w:color="auto"/>
        <w:right w:val="none" w:sz="0" w:space="0" w:color="auto"/>
      </w:divBdr>
    </w:div>
    <w:div w:id="1887450195">
      <w:marLeft w:val="0"/>
      <w:marRight w:val="0"/>
      <w:marTop w:val="0"/>
      <w:marBottom w:val="0"/>
      <w:divBdr>
        <w:top w:val="none" w:sz="0" w:space="0" w:color="auto"/>
        <w:left w:val="none" w:sz="0" w:space="0" w:color="auto"/>
        <w:bottom w:val="none" w:sz="0" w:space="0" w:color="auto"/>
        <w:right w:val="none" w:sz="0" w:space="0" w:color="auto"/>
      </w:divBdr>
    </w:div>
    <w:div w:id="1887450196">
      <w:marLeft w:val="0"/>
      <w:marRight w:val="0"/>
      <w:marTop w:val="0"/>
      <w:marBottom w:val="0"/>
      <w:divBdr>
        <w:top w:val="none" w:sz="0" w:space="0" w:color="auto"/>
        <w:left w:val="none" w:sz="0" w:space="0" w:color="auto"/>
        <w:bottom w:val="none" w:sz="0" w:space="0" w:color="auto"/>
        <w:right w:val="none" w:sz="0" w:space="0" w:color="auto"/>
      </w:divBdr>
    </w:div>
    <w:div w:id="1887450197">
      <w:marLeft w:val="0"/>
      <w:marRight w:val="0"/>
      <w:marTop w:val="0"/>
      <w:marBottom w:val="0"/>
      <w:divBdr>
        <w:top w:val="none" w:sz="0" w:space="0" w:color="auto"/>
        <w:left w:val="none" w:sz="0" w:space="0" w:color="auto"/>
        <w:bottom w:val="none" w:sz="0" w:space="0" w:color="auto"/>
        <w:right w:val="none" w:sz="0" w:space="0" w:color="auto"/>
      </w:divBdr>
      <w:divsChild>
        <w:div w:id="1887450191">
          <w:marLeft w:val="0"/>
          <w:marRight w:val="0"/>
          <w:marTop w:val="0"/>
          <w:marBottom w:val="0"/>
          <w:divBdr>
            <w:top w:val="none" w:sz="0" w:space="0" w:color="auto"/>
            <w:left w:val="none" w:sz="0" w:space="0" w:color="auto"/>
            <w:bottom w:val="none" w:sz="0" w:space="0" w:color="auto"/>
            <w:right w:val="none" w:sz="0" w:space="0" w:color="auto"/>
          </w:divBdr>
        </w:div>
      </w:divsChild>
    </w:div>
    <w:div w:id="1887450198">
      <w:marLeft w:val="0"/>
      <w:marRight w:val="0"/>
      <w:marTop w:val="0"/>
      <w:marBottom w:val="0"/>
      <w:divBdr>
        <w:top w:val="none" w:sz="0" w:space="0" w:color="auto"/>
        <w:left w:val="none" w:sz="0" w:space="0" w:color="auto"/>
        <w:bottom w:val="none" w:sz="0" w:space="0" w:color="auto"/>
        <w:right w:val="none" w:sz="0" w:space="0" w:color="auto"/>
      </w:divBdr>
      <w:divsChild>
        <w:div w:id="1887450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3606</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Sisteme de asigurări sociale ale avocaților în Europa</vt:lpstr>
    </vt:vector>
  </TitlesOfParts>
  <Company>Microsoft</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Sisteme de asigurări sociale ale avocaților în Europa</dc:title>
  <dc:creator>PARASCHO</dc:creator>
  <cp:lastModifiedBy>Sandu Gherasim</cp:lastModifiedBy>
  <cp:revision>8</cp:revision>
  <cp:lastPrinted>2019-10-10T14:16:00Z</cp:lastPrinted>
  <dcterms:created xsi:type="dcterms:W3CDTF">2020-08-21T12:18:00Z</dcterms:created>
  <dcterms:modified xsi:type="dcterms:W3CDTF">2020-08-21T16:40:00Z</dcterms:modified>
</cp:coreProperties>
</file>