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50" w:type="dxa"/>
        <w:tblCellSpacing w:w="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35C43" w:rsidRPr="00E35C43" w14:paraId="1629957F" w14:textId="77777777" w:rsidTr="00E35C43">
        <w:trPr>
          <w:tblCellSpacing w:w="0" w:type="dxa"/>
        </w:trPr>
        <w:tc>
          <w:tcPr>
            <w:tcW w:w="0" w:type="auto"/>
            <w:shd w:val="clear" w:color="auto" w:fill="FAFAF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35C43" w:rsidRPr="00E35C43" w14:paraId="1629957D" w14:textId="77777777" w:rsidTr="00E35C4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bottom w:val="single" w:sz="6" w:space="0" w:color="C8C8C8"/>
                    </w:tblBorders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E35C43" w:rsidRPr="00E35C43" w14:paraId="1629957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0"/>
                        </w:tblGrid>
                        <w:tr w:rsidR="00E35C43" w:rsidRPr="00E35C43" w14:paraId="1629957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60"/>
                              </w:tblGrid>
                              <w:tr w:rsidR="00E35C43" w:rsidRPr="00E35C43" w14:paraId="16299575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6299574" w14:textId="77777777" w:rsidR="00E35C43" w:rsidRPr="00E35C43" w:rsidRDefault="00E35C43" w:rsidP="00066F4F">
                                    <w:pPr>
                                      <w:spacing w:after="0" w:line="360" w:lineRule="auto"/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</w:pPr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COMMUNIQUÉ DE PRESSE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Turquie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: À la suite de la mort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tragique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l'avocate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Ebru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Timtik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, le CCBE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appelle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l'UE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les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autorités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turques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à prendre des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mesures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urgentes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pour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empêcher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la mort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l'avocat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Aytaç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Ünsal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  <w:t>31/08/2020</w:t>
                                    </w:r>
                                  </w:p>
                                </w:tc>
                              </w:tr>
                              <w:tr w:rsidR="00E35C43" w:rsidRPr="00E35C43" w14:paraId="16299577" w14:textId="77777777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6299576" w14:textId="77777777" w:rsidR="00E35C43" w:rsidRPr="00E35C43" w:rsidRDefault="00E35C43" w:rsidP="00066F4F">
                                    <w:pPr>
                                      <w:spacing w:after="0" w:line="360" w:lineRule="auto"/>
                                      <w:rPr>
                                        <w:rFonts w:eastAsia="Times New Roman" w:cstheme="minorHAnsi"/>
                                        <w:b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299578" w14:textId="77777777" w:rsidR="00E35C43" w:rsidRPr="00E35C43" w:rsidRDefault="00E35C43" w:rsidP="00066F4F">
                              <w:pPr>
                                <w:spacing w:after="0" w:line="360" w:lineRule="auto"/>
                                <w:rPr>
                                  <w:rFonts w:eastAsia="Times New Roman" w:cstheme="minorHAnsi"/>
                                  <w:b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629957A" w14:textId="77777777" w:rsidR="00E35C43" w:rsidRPr="00E35C43" w:rsidRDefault="00E35C43" w:rsidP="00066F4F">
                        <w:pPr>
                          <w:spacing w:after="0" w:line="360" w:lineRule="auto"/>
                          <w:rPr>
                            <w:rFonts w:eastAsia="Times New Roman" w:cstheme="minorHAnsi"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629957C" w14:textId="77777777" w:rsidR="00E35C43" w:rsidRPr="00E35C43" w:rsidRDefault="00E35C43" w:rsidP="00066F4F">
                  <w:pPr>
                    <w:spacing w:after="0" w:line="360" w:lineRule="auto"/>
                    <w:rPr>
                      <w:rFonts w:eastAsia="Times New Roman" w:cstheme="minorHAnsi"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</w:tbl>
          <w:p w14:paraId="1629957E" w14:textId="77777777" w:rsidR="00E35C43" w:rsidRPr="00E35C43" w:rsidRDefault="00E35C43" w:rsidP="00066F4F">
            <w:pPr>
              <w:shd w:val="clear" w:color="auto" w:fill="FFFFFF"/>
              <w:spacing w:after="0" w:line="360" w:lineRule="auto"/>
              <w:rPr>
                <w:rFonts w:eastAsia="Times New Roman" w:cstheme="minorHAnsi"/>
                <w:color w:val="262626" w:themeColor="text1" w:themeTint="D9"/>
                <w:sz w:val="24"/>
                <w:szCs w:val="24"/>
              </w:rPr>
            </w:pPr>
          </w:p>
        </w:tc>
      </w:tr>
      <w:tr w:rsidR="00E35C43" w:rsidRPr="00E35C43" w14:paraId="16299591" w14:textId="77777777" w:rsidTr="00E35C43">
        <w:trPr>
          <w:tblCellSpacing w:w="0" w:type="dxa"/>
        </w:trPr>
        <w:tc>
          <w:tcPr>
            <w:tcW w:w="0" w:type="auto"/>
            <w:shd w:val="clear" w:color="auto" w:fill="FAFAF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35C43" w:rsidRPr="00E35C43" w14:paraId="1629958F" w14:textId="77777777" w:rsidTr="00E35C4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E35C43" w:rsidRPr="00E35C43" w14:paraId="16299581" w14:textId="77777777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299580" w14:textId="77777777" w:rsidR="00E35C43" w:rsidRPr="00E35C43" w:rsidRDefault="00E35C43" w:rsidP="00066F4F">
                        <w:pPr>
                          <w:spacing w:after="0" w:line="360" w:lineRule="auto"/>
                          <w:rPr>
                            <w:rFonts w:eastAsia="Times New Roman" w:cstheme="minorHAnsi"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  <w:bookmarkStart w:id="0" w:name="m_-3251428881976769273_m_-68671061753576"/>
                        <w:r w:rsidRPr="00E35C43">
                          <w:rPr>
                            <w:rFonts w:eastAsia="Times New Roman" w:cstheme="minorHAnsi"/>
                            <w:color w:val="262626" w:themeColor="text1" w:themeTint="D9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E35C43" w:rsidRPr="00E35C43" w14:paraId="1629958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0"/>
                        </w:tblGrid>
                        <w:tr w:rsidR="00E35C43" w:rsidRPr="00E35C43" w14:paraId="1629958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60"/>
                              </w:tblGrid>
                              <w:tr w:rsidR="00E35C43" w:rsidRPr="00E35C43" w14:paraId="1629958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6299582" w14:textId="77777777" w:rsidR="00E35C43" w:rsidRPr="00E35C43" w:rsidRDefault="00E35C43" w:rsidP="00066F4F">
                                    <w:pPr>
                                      <w:spacing w:after="0" w:line="360" w:lineRule="auto"/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</w:pP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Le Conseil des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barreaux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européens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(CCBE)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est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profondément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choqué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par la mort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l'avocate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turque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Ebru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Timtik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, le 27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août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dernier, après 238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jours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grève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la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faim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  <w:p w14:paraId="16299583" w14:textId="77777777" w:rsidR="0015741B" w:rsidRDefault="00E35C43" w:rsidP="00066F4F">
                                    <w:pPr>
                                      <w:spacing w:after="0" w:line="360" w:lineRule="auto"/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</w:pP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 Les avocats Ebru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Timtik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Aytaç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Ünsal,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respectivement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condamnés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à 13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ans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6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mois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11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ans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6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mois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prison,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ont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décidé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faire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une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grève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la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faim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illimitée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pour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dénoncer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leur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procès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inéquitable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ainsi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que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celui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plusieurs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dizaines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d'avocats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turcs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  <w:t>(</w:t>
                                    </w:r>
                                    <w:hyperlink r:id="rId6" w:tgtFrame="_blank" w:history="1">
                                      <w:r w:rsidRPr="00066F4F">
                                        <w:rPr>
                                          <w:rFonts w:eastAsia="Times New Roman" w:cstheme="minorHAnsi"/>
                                          <w:color w:val="262626" w:themeColor="text1" w:themeTint="D9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https://www.ccbe.eu/fileadmin/speciality_distribution/public/documents/Human_right_portal/EN_20200618_Final-Report-Fact-Finding-Mission-on-CHD-s-Trials-Oct-2019-June-2020.pdf</w:t>
                                      </w:r>
                                    </w:hyperlink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).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14:paraId="16299584" w14:textId="77777777" w:rsidR="0015741B" w:rsidRDefault="00E35C43" w:rsidP="00066F4F">
                                    <w:pPr>
                                      <w:spacing w:after="0" w:line="360" w:lineRule="auto"/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Depuis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2017,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plusieurs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avocats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turcs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appartenant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à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l'Association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des avocats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progressistes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People’s Law Office,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parmi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lesquels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Ebru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Timtik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Aytaç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Ünsal,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sont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victimes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harcèlement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judiciaire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avocats qui se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sont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battus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pour la justice et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l'état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droit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ont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défendu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notamment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personnes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considérées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comme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opposants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au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gouvernement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turc, les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familles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mineurs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massacrés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à Soma et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Ermenek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, les populations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expulsées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leurs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foyers et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victimes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la transformation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urbaine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, les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familles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citoyens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tués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sous la torture dans des commissariats de police et des prisons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ainsi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que des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personnes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poursuivies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pour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avoir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exprimé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leur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avis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notamment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des fonctionnaires, des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travailleurs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des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défenseurs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libertés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14:paraId="16299585" w14:textId="77777777" w:rsidR="0015741B" w:rsidRDefault="00E35C43" w:rsidP="00066F4F">
                                    <w:pPr>
                                      <w:spacing w:after="0" w:line="360" w:lineRule="auto"/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</w:pP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Du fait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leur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activité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légitime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d'avocat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avocats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ont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été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accusés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d'être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membres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d'une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organisation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terroriste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vertu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lois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antiterroristes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turques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ont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dès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lors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fait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l'objet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poursuites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judiciaires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Ils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n'ont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pas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bénéficié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d'un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procès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équitable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tel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que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garanti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par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l'article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6 de la Convention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européenne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des droits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l'homme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dont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la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Turquie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est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signataire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lastRenderedPageBreak/>
                                      <w:t>C'est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qui a conduit à la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grève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la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faim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d'Ebru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Timtik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d'Aytaç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Ünsal.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Les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autorités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turques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n'ont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pas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réussi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à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empêcher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la mort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d'Ebru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Timtik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malgré les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appels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les rapports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médicaux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concluant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qu'ils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ne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devaient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pas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rester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prison.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Aytaç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Ünsal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est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aujourd'hui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encore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grève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la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faim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ne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doit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pas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connaître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la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même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fin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tragique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qu'Ebru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Timtik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14:paraId="16299586" w14:textId="77777777" w:rsidR="00E35C43" w:rsidRPr="00E35C43" w:rsidRDefault="00E35C43" w:rsidP="00066F4F">
                                    <w:pPr>
                                      <w:spacing w:after="0" w:line="360" w:lineRule="auto"/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</w:pP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Le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président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du CCBE a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déclaré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aujourd’hui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:</w:t>
                                    </w:r>
                                    <w:proofErr w:type="gram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« Ebru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Timtik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est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morte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dans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sa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lutte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pour la justice.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C'est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extrêmement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triste et inacceptable. Les avocats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jouent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un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rôle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crucial dans le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maintien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l'état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droit et dans la promotion et la protection des droits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humains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Cette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semaine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aura lieu le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trentième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anniversaire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Principes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base des Nations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unies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relatifs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au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rôle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du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barreau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. La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Turquie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doit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prendre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compte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respecter les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Principes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base dans le cadre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sa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législation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sa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pratique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nationales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veillant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à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que les avocats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soient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mesure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d'exercer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toutes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leurs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activités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professionnelles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sans intimidation,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entrave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harcèlement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ni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ingérence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indue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qu'ils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ne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subissent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pas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ni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ne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soient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menacés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subir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poursuites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ou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des sanctions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administratives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économiques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ou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autres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pour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toute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action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entreprise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conformément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aux devoirs, aux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normes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à la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déontologie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reconnus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la profession ».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Le CCBE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appelle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l'UE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les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autorités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turques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à faire tout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qui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est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leur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pouvoir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pour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sauver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la vie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l'avocat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Aytaç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Ünsal et lui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garantir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un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procès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équitable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Tous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les avocats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Turquie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doivent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être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en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mesure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d'exercer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leurs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activités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professionnelles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afin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préserver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l'indépendance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et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l'intégrité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l'administration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la justice et de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l'état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droit.</w:t>
                                    </w:r>
                                  </w:p>
                                </w:tc>
                              </w:tr>
                            </w:tbl>
                            <w:p w14:paraId="16299588" w14:textId="77777777" w:rsidR="00E35C43" w:rsidRPr="00E35C43" w:rsidRDefault="00E35C43" w:rsidP="00066F4F">
                              <w:pPr>
                                <w:spacing w:after="0" w:line="360" w:lineRule="auto"/>
                                <w:rPr>
                                  <w:rFonts w:eastAsia="Times New Roman" w:cstheme="minorHAnsi"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629958A" w14:textId="77777777" w:rsidR="00E35C43" w:rsidRPr="00E35C43" w:rsidRDefault="00E35C43" w:rsidP="00066F4F">
                        <w:pPr>
                          <w:spacing w:after="0" w:line="360" w:lineRule="auto"/>
                          <w:rPr>
                            <w:rFonts w:eastAsia="Times New Roman" w:cstheme="minorHAnsi"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35C43" w:rsidRPr="00E35C43" w14:paraId="1629958D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29958C" w14:textId="77777777" w:rsidR="00E35C43" w:rsidRPr="00E35C43" w:rsidRDefault="00E35C43" w:rsidP="00066F4F">
                        <w:pPr>
                          <w:spacing w:after="0" w:line="360" w:lineRule="auto"/>
                          <w:rPr>
                            <w:rFonts w:eastAsia="Times New Roman" w:cstheme="minorHAnsi"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  <w:r w:rsidRPr="00E35C43">
                          <w:rPr>
                            <w:rFonts w:eastAsia="Times New Roman" w:cstheme="minorHAnsi"/>
                            <w:color w:val="262626" w:themeColor="text1" w:themeTint="D9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1629958E" w14:textId="77777777" w:rsidR="00E35C43" w:rsidRPr="00E35C43" w:rsidRDefault="00E35C43" w:rsidP="00066F4F">
                  <w:pPr>
                    <w:spacing w:after="0" w:line="360" w:lineRule="auto"/>
                    <w:rPr>
                      <w:rFonts w:eastAsia="Times New Roman" w:cstheme="minorHAnsi"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</w:tbl>
          <w:p w14:paraId="16299590" w14:textId="77777777" w:rsidR="00E35C43" w:rsidRPr="00E35C43" w:rsidRDefault="00E35C43" w:rsidP="00066F4F">
            <w:pPr>
              <w:shd w:val="clear" w:color="auto" w:fill="FFFFFF"/>
              <w:spacing w:after="0" w:line="360" w:lineRule="auto"/>
              <w:rPr>
                <w:rFonts w:eastAsia="Times New Roman" w:cstheme="minorHAnsi"/>
                <w:color w:val="262626" w:themeColor="text1" w:themeTint="D9"/>
                <w:sz w:val="24"/>
                <w:szCs w:val="24"/>
              </w:rPr>
            </w:pPr>
          </w:p>
        </w:tc>
      </w:tr>
      <w:tr w:rsidR="00E35C43" w:rsidRPr="00E35C43" w14:paraId="1629959D" w14:textId="77777777" w:rsidTr="00E35C43">
        <w:trPr>
          <w:tblCellSpacing w:w="0" w:type="dxa"/>
        </w:trPr>
        <w:tc>
          <w:tcPr>
            <w:tcW w:w="0" w:type="auto"/>
            <w:shd w:val="clear" w:color="auto" w:fill="FAFAF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35C43" w:rsidRPr="00E35C43" w14:paraId="1629959B" w14:textId="77777777" w:rsidTr="00E35C4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bottom w:val="single" w:sz="6" w:space="0" w:color="C8C8C8"/>
                    </w:tblBorders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E35C43" w:rsidRPr="00E35C43" w14:paraId="16299593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299592" w14:textId="1391F404" w:rsidR="00E35C43" w:rsidRPr="00E35C43" w:rsidRDefault="00E35C43" w:rsidP="00066F4F">
                        <w:pPr>
                          <w:spacing w:after="0" w:line="360" w:lineRule="auto"/>
                          <w:jc w:val="right"/>
                          <w:rPr>
                            <w:rFonts w:eastAsia="Times New Roman" w:cstheme="minorHAnsi"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35C43" w:rsidRPr="00E35C43" w14:paraId="1629959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0"/>
                        </w:tblGrid>
                        <w:tr w:rsidR="00E35C43" w:rsidRPr="00E35C43" w14:paraId="1629959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60"/>
                              </w:tblGrid>
                              <w:tr w:rsidR="00E35C43" w:rsidRPr="00E35C43" w14:paraId="1629959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bookmarkEnd w:id="0"/>
                                  <w:p w14:paraId="16299594" w14:textId="77777777" w:rsidR="00E35C43" w:rsidRPr="00E35C43" w:rsidRDefault="00E35C43" w:rsidP="00066F4F">
                                    <w:pPr>
                                      <w:spacing w:after="0" w:line="36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</w:pP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Pour plus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d’information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,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contacter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Karine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Métayer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proofErr w:type="spellStart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>Responsable</w:t>
                                    </w:r>
                                    <w:proofErr w:type="spellEnd"/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t xml:space="preserve"> de la communication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  <w:t>+32 (0)2 234 65 10</w:t>
                                    </w:r>
                                    <w:r w:rsidRPr="00E35C43">
                                      <w:rPr>
                                        <w:rFonts w:eastAsia="Times New Roman" w:cstheme="minorHAnsi"/>
                                        <w:color w:val="262626" w:themeColor="text1" w:themeTint="D9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hyperlink r:id="rId7" w:tgtFrame="_blank" w:history="1">
                                      <w:r w:rsidRPr="00066F4F">
                                        <w:rPr>
                                          <w:rFonts w:eastAsia="Times New Roman" w:cstheme="minorHAnsi"/>
                                          <w:color w:val="262626" w:themeColor="text1" w:themeTint="D9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metayer@ccbe.eu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6299596" w14:textId="77777777" w:rsidR="00E35C43" w:rsidRPr="00E35C43" w:rsidRDefault="00E35C43" w:rsidP="00066F4F">
                              <w:pPr>
                                <w:spacing w:after="0" w:line="360" w:lineRule="auto"/>
                                <w:jc w:val="right"/>
                                <w:rPr>
                                  <w:rFonts w:eastAsia="Times New Roman" w:cstheme="minorHAnsi"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6299598" w14:textId="77777777" w:rsidR="00E35C43" w:rsidRPr="00E35C43" w:rsidRDefault="00E35C43" w:rsidP="00066F4F">
                        <w:pPr>
                          <w:spacing w:after="0" w:line="360" w:lineRule="auto"/>
                          <w:jc w:val="right"/>
                          <w:rPr>
                            <w:rFonts w:eastAsia="Times New Roman" w:cstheme="minorHAnsi"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629959A" w14:textId="77777777" w:rsidR="00E35C43" w:rsidRPr="00E35C43" w:rsidRDefault="00E35C43" w:rsidP="00066F4F">
                  <w:pPr>
                    <w:spacing w:after="0" w:line="360" w:lineRule="auto"/>
                    <w:rPr>
                      <w:rFonts w:eastAsia="Times New Roman" w:cstheme="minorHAnsi"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</w:tbl>
          <w:p w14:paraId="1629959C" w14:textId="77777777" w:rsidR="00E35C43" w:rsidRPr="00E35C43" w:rsidRDefault="00E35C43" w:rsidP="00066F4F">
            <w:pPr>
              <w:shd w:val="clear" w:color="auto" w:fill="FFFFFF"/>
              <w:spacing w:after="0" w:line="360" w:lineRule="auto"/>
              <w:rPr>
                <w:rFonts w:eastAsia="Times New Roman" w:cstheme="minorHAnsi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1629959E" w14:textId="77777777" w:rsidR="007363D3" w:rsidRPr="00066F4F" w:rsidRDefault="007363D3" w:rsidP="00066F4F">
      <w:pPr>
        <w:spacing w:line="360" w:lineRule="auto"/>
        <w:rPr>
          <w:rFonts w:cstheme="minorHAnsi"/>
          <w:color w:val="262626" w:themeColor="text1" w:themeTint="D9"/>
          <w:sz w:val="24"/>
          <w:szCs w:val="24"/>
        </w:rPr>
      </w:pPr>
    </w:p>
    <w:sectPr w:rsidR="007363D3" w:rsidRPr="00066F4F" w:rsidSect="001C3F46">
      <w:pgSz w:w="12240" w:h="15840"/>
      <w:pgMar w:top="990" w:right="1440" w:bottom="1440" w:left="1440" w:header="450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AEC28" w14:textId="77777777" w:rsidR="00FC5146" w:rsidRDefault="00FC5146" w:rsidP="004617AD">
      <w:pPr>
        <w:spacing w:after="0" w:line="240" w:lineRule="auto"/>
      </w:pPr>
      <w:r>
        <w:separator/>
      </w:r>
    </w:p>
  </w:endnote>
  <w:endnote w:type="continuationSeparator" w:id="0">
    <w:p w14:paraId="0C1F8CA4" w14:textId="77777777" w:rsidR="00FC5146" w:rsidRDefault="00FC5146" w:rsidP="0046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CEA3D" w14:textId="77777777" w:rsidR="00FC5146" w:rsidRDefault="00FC5146" w:rsidP="004617AD">
      <w:pPr>
        <w:spacing w:after="0" w:line="240" w:lineRule="auto"/>
      </w:pPr>
      <w:r>
        <w:separator/>
      </w:r>
    </w:p>
  </w:footnote>
  <w:footnote w:type="continuationSeparator" w:id="0">
    <w:p w14:paraId="25F32FF0" w14:textId="77777777" w:rsidR="00FC5146" w:rsidRDefault="00FC5146" w:rsidP="0046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C43"/>
    <w:rsid w:val="00066F4F"/>
    <w:rsid w:val="00104D2E"/>
    <w:rsid w:val="0015741B"/>
    <w:rsid w:val="001C3F46"/>
    <w:rsid w:val="004617AD"/>
    <w:rsid w:val="007363D3"/>
    <w:rsid w:val="00E35C43"/>
    <w:rsid w:val="00F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99574"/>
  <w15:docId w15:val="{7C56AD46-F6BC-41CC-B10D-5E94DDB7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5C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7AD"/>
  </w:style>
  <w:style w:type="paragraph" w:styleId="Footer">
    <w:name w:val="footer"/>
    <w:basedOn w:val="Normal"/>
    <w:link w:val="FooterChar"/>
    <w:uiPriority w:val="99"/>
    <w:unhideWhenUsed/>
    <w:rsid w:val="00461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tayer@ccb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.email3.wikafi.be/mk/cl/f/84vNAQWyCf5CHNJkh_mBvoM8zCTkaRM9c_S5IaVdsE9-opck2UTn-43raKLxMSz6VsSc4DQp0KEPV70LytNsEaGOglHfSfupBM2o0v8ratIWwTjanNd0ZPBkgRKq1hCw1V7hVMWPf9UGzsEkrHTj0VbrCxyryoQb-bb1Q__WiqVTeWInRmctclf9Yiyq6NLgSwznq1DGXDingXqd4fPTpjGOyZAqPvKQH9YJzjLT2BA-_yU7SbQt2c-TTL_SEh10_dDb3QF0Qk1yWjijPlqY_rxvrvToU3mBKWcM-OZOseWtBeMg13PE9o_Jg8Y0evprCc8VbNb7xziI7GVPWttbSQURQu_ZEiFM5Ugm8i5QEhgz7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Sandu Gherasim</cp:lastModifiedBy>
  <cp:revision>6</cp:revision>
  <dcterms:created xsi:type="dcterms:W3CDTF">2020-09-01T05:17:00Z</dcterms:created>
  <dcterms:modified xsi:type="dcterms:W3CDTF">2020-09-01T05:59:00Z</dcterms:modified>
</cp:coreProperties>
</file>