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50" w:type="dxa"/>
        <w:tblCellSpacing w:w="0" w:type="dxa"/>
        <w:shd w:val="clear" w:color="auto" w:fill="FAFAFA"/>
        <w:tblCellMar>
          <w:left w:w="0" w:type="dxa"/>
          <w:right w:w="0" w:type="dxa"/>
        </w:tblCellMar>
        <w:tblLook w:val="04A0"/>
      </w:tblPr>
      <w:tblGrid>
        <w:gridCol w:w="9360"/>
      </w:tblGrid>
      <w:tr w:rsidR="00C41052" w:rsidRPr="00C41052" w:rsidTr="00C41052">
        <w:trPr>
          <w:tblCellSpacing w:w="0" w:type="dxa"/>
        </w:trPr>
        <w:tc>
          <w:tcPr>
            <w:tcW w:w="0" w:type="auto"/>
            <w:shd w:val="clear" w:color="auto" w:fill="FAFAFA"/>
            <w:hideMark/>
          </w:tcPr>
          <w:tbl>
            <w:tblPr>
              <w:tblW w:w="5000" w:type="pct"/>
              <w:jc w:val="center"/>
              <w:tblCellSpacing w:w="0" w:type="dxa"/>
              <w:tblCellMar>
                <w:left w:w="0" w:type="dxa"/>
                <w:right w:w="0" w:type="dxa"/>
              </w:tblCellMar>
              <w:tblLook w:val="04A0"/>
            </w:tblPr>
            <w:tblGrid>
              <w:gridCol w:w="9360"/>
            </w:tblGrid>
            <w:tr w:rsidR="00C41052" w:rsidRPr="00C41052" w:rsidTr="00C41052">
              <w:trPr>
                <w:tblCellSpacing w:w="0" w:type="dxa"/>
                <w:jc w:val="center"/>
              </w:trPr>
              <w:tc>
                <w:tcPr>
                  <w:tcW w:w="0" w:type="auto"/>
                  <w:hideMark/>
                </w:tcPr>
                <w:tbl>
                  <w:tblPr>
                    <w:tblW w:w="5000" w:type="pct"/>
                    <w:jc w:val="center"/>
                    <w:tblCellSpacing w:w="0" w:type="dxa"/>
                    <w:tblBorders>
                      <w:bottom w:val="single" w:sz="6" w:space="0" w:color="C8C8C8"/>
                    </w:tblBorders>
                    <w:shd w:val="clear" w:color="auto" w:fill="FFFFFF"/>
                    <w:tblCellMar>
                      <w:left w:w="300" w:type="dxa"/>
                      <w:right w:w="300" w:type="dxa"/>
                    </w:tblCellMar>
                    <w:tblLook w:val="04A0"/>
                  </w:tblPr>
                  <w:tblGrid>
                    <w:gridCol w:w="9360"/>
                  </w:tblGrid>
                  <w:tr w:rsidR="00C41052" w:rsidRPr="00C41052">
                    <w:trPr>
                      <w:tblCellSpacing w:w="0" w:type="dxa"/>
                      <w:jc w:val="center"/>
                    </w:trPr>
                    <w:tc>
                      <w:tcPr>
                        <w:tcW w:w="0" w:type="auto"/>
                        <w:shd w:val="clear" w:color="auto" w:fill="FFFFFF"/>
                        <w:vAlign w:val="center"/>
                        <w:hideMark/>
                      </w:tcPr>
                      <w:tbl>
                        <w:tblPr>
                          <w:tblW w:w="0" w:type="auto"/>
                          <w:jc w:val="center"/>
                          <w:tblCellSpacing w:w="0" w:type="dxa"/>
                          <w:tblCellMar>
                            <w:left w:w="0" w:type="dxa"/>
                            <w:right w:w="0" w:type="dxa"/>
                          </w:tblCellMar>
                          <w:tblLook w:val="04A0"/>
                        </w:tblPr>
                        <w:tblGrid>
                          <w:gridCol w:w="8760"/>
                        </w:tblGrid>
                        <w:tr w:rsidR="00C41052" w:rsidRPr="00C41052">
                          <w:trPr>
                            <w:tblCellSpacing w:w="0" w:type="dxa"/>
                            <w:jc w:val="center"/>
                          </w:trPr>
                          <w:tc>
                            <w:tcPr>
                              <w:tcW w:w="0" w:type="auto"/>
                              <w:vAlign w:val="center"/>
                              <w:hideMark/>
                            </w:tcPr>
                            <w:tbl>
                              <w:tblPr>
                                <w:tblW w:w="0" w:type="auto"/>
                                <w:jc w:val="center"/>
                                <w:tblCellSpacing w:w="0" w:type="dxa"/>
                                <w:tblCellMar>
                                  <w:left w:w="0" w:type="dxa"/>
                                  <w:right w:w="0" w:type="dxa"/>
                                </w:tblCellMar>
                                <w:tblLook w:val="04A0"/>
                              </w:tblPr>
                              <w:tblGrid>
                                <w:gridCol w:w="8760"/>
                              </w:tblGrid>
                              <w:tr w:rsidR="00C41052" w:rsidRPr="00C41052">
                                <w:trPr>
                                  <w:tblCellSpacing w:w="0" w:type="dxa"/>
                                  <w:jc w:val="center"/>
                                </w:trPr>
                                <w:tc>
                                  <w:tcPr>
                                    <w:tcW w:w="0" w:type="auto"/>
                                    <w:vAlign w:val="center"/>
                                    <w:hideMark/>
                                  </w:tcPr>
                                  <w:p w:rsidR="00C41052" w:rsidRPr="00C41052" w:rsidRDefault="00C41052" w:rsidP="00C41052">
                                    <w:pPr>
                                      <w:spacing w:after="0" w:line="240" w:lineRule="auto"/>
                                      <w:rPr>
                                        <w:rFonts w:eastAsia="Times New Roman" w:cstheme="minorHAnsi"/>
                                        <w:b/>
                                        <w:color w:val="000000" w:themeColor="text1"/>
                                        <w:sz w:val="24"/>
                                        <w:szCs w:val="24"/>
                                      </w:rPr>
                                    </w:pPr>
                                    <w:r w:rsidRPr="00C41052">
                                      <w:rPr>
                                        <w:rFonts w:eastAsia="Times New Roman" w:cstheme="minorHAnsi"/>
                                        <w:b/>
                                        <w:color w:val="000000" w:themeColor="text1"/>
                                        <w:sz w:val="24"/>
                                        <w:szCs w:val="24"/>
                                      </w:rPr>
                                      <w:t>PRESS RELEASE</w:t>
                                    </w:r>
                                    <w:r w:rsidRPr="00C41052">
                                      <w:rPr>
                                        <w:rFonts w:eastAsia="Times New Roman" w:cstheme="minorHAnsi"/>
                                        <w:b/>
                                        <w:color w:val="000000" w:themeColor="text1"/>
                                        <w:sz w:val="24"/>
                                        <w:szCs w:val="24"/>
                                      </w:rPr>
                                      <w:br/>
                                      <w:t>Turkey: Following the tragic death of lawyer Ebru Timtik, the CCBE calls on the EU and Turkish authorities to take urgent measures to prevent the death of lawyer Aytaç Ünsal</w:t>
                                    </w:r>
                                    <w:r w:rsidRPr="00C41052">
                                      <w:rPr>
                                        <w:rFonts w:eastAsia="Times New Roman" w:cstheme="minorHAnsi"/>
                                        <w:b/>
                                        <w:color w:val="000000" w:themeColor="text1"/>
                                        <w:sz w:val="24"/>
                                        <w:szCs w:val="24"/>
                                      </w:rPr>
                                      <w:br/>
                                      <w:t>31/08/2020</w:t>
                                    </w:r>
                                  </w:p>
                                </w:tc>
                              </w:tr>
                              <w:tr w:rsidR="00C41052" w:rsidRPr="00C41052">
                                <w:trPr>
                                  <w:trHeight w:val="150"/>
                                  <w:tblCellSpacing w:w="0" w:type="dxa"/>
                                  <w:jc w:val="center"/>
                                </w:trPr>
                                <w:tc>
                                  <w:tcPr>
                                    <w:tcW w:w="0" w:type="auto"/>
                                    <w:vAlign w:val="center"/>
                                    <w:hideMark/>
                                  </w:tcPr>
                                  <w:p w:rsidR="00C41052" w:rsidRPr="00C41052" w:rsidRDefault="00C41052" w:rsidP="00C41052">
                                    <w:pPr>
                                      <w:spacing w:after="0" w:line="240" w:lineRule="auto"/>
                                      <w:rPr>
                                        <w:rFonts w:eastAsia="Times New Roman" w:cstheme="minorHAnsi"/>
                                        <w:color w:val="000000" w:themeColor="text1"/>
                                        <w:sz w:val="24"/>
                                        <w:szCs w:val="24"/>
                                      </w:rPr>
                                    </w:pPr>
                                  </w:p>
                                </w:tc>
                              </w:tr>
                            </w:tbl>
                            <w:p w:rsidR="00C41052" w:rsidRPr="00C41052" w:rsidRDefault="00C41052" w:rsidP="00C41052">
                              <w:pPr>
                                <w:spacing w:after="0" w:line="240" w:lineRule="auto"/>
                                <w:rPr>
                                  <w:rFonts w:eastAsia="Times New Roman" w:cstheme="minorHAnsi"/>
                                  <w:color w:val="000000" w:themeColor="text1"/>
                                  <w:sz w:val="24"/>
                                  <w:szCs w:val="24"/>
                                </w:rPr>
                              </w:pPr>
                            </w:p>
                          </w:tc>
                        </w:tr>
                      </w:tbl>
                      <w:p w:rsidR="00C41052" w:rsidRPr="00C41052" w:rsidRDefault="00C41052" w:rsidP="00C41052">
                        <w:pPr>
                          <w:spacing w:after="0" w:line="240" w:lineRule="auto"/>
                          <w:rPr>
                            <w:rFonts w:eastAsia="Times New Roman" w:cstheme="minorHAnsi"/>
                            <w:color w:val="000000" w:themeColor="text1"/>
                            <w:sz w:val="24"/>
                            <w:szCs w:val="24"/>
                          </w:rPr>
                        </w:pPr>
                      </w:p>
                    </w:tc>
                  </w:tr>
                </w:tbl>
                <w:p w:rsidR="00C41052" w:rsidRPr="00C41052" w:rsidRDefault="00C41052" w:rsidP="00C41052">
                  <w:pPr>
                    <w:spacing w:after="0" w:line="240" w:lineRule="auto"/>
                    <w:rPr>
                      <w:rFonts w:eastAsia="Times New Roman" w:cstheme="minorHAnsi"/>
                      <w:color w:val="000000" w:themeColor="text1"/>
                      <w:sz w:val="24"/>
                      <w:szCs w:val="24"/>
                    </w:rPr>
                  </w:pPr>
                </w:p>
              </w:tc>
            </w:tr>
          </w:tbl>
          <w:p w:rsidR="00C41052" w:rsidRPr="00C41052" w:rsidRDefault="00C41052" w:rsidP="00C41052">
            <w:pPr>
              <w:shd w:val="clear" w:color="auto" w:fill="FFFFFF"/>
              <w:spacing w:after="0" w:line="240" w:lineRule="auto"/>
              <w:rPr>
                <w:rFonts w:eastAsia="Times New Roman" w:cstheme="minorHAnsi"/>
                <w:color w:val="000000" w:themeColor="text1"/>
                <w:sz w:val="24"/>
                <w:szCs w:val="24"/>
              </w:rPr>
            </w:pPr>
          </w:p>
        </w:tc>
      </w:tr>
      <w:tr w:rsidR="00C41052" w:rsidRPr="00C41052" w:rsidTr="00C41052">
        <w:trPr>
          <w:tblCellSpacing w:w="0" w:type="dxa"/>
        </w:trPr>
        <w:tc>
          <w:tcPr>
            <w:tcW w:w="0" w:type="auto"/>
            <w:shd w:val="clear" w:color="auto" w:fill="FAFAFA"/>
            <w:hideMark/>
          </w:tcPr>
          <w:tbl>
            <w:tblPr>
              <w:tblW w:w="5000" w:type="pct"/>
              <w:jc w:val="center"/>
              <w:tblCellSpacing w:w="0" w:type="dxa"/>
              <w:tblCellMar>
                <w:left w:w="0" w:type="dxa"/>
                <w:right w:w="0" w:type="dxa"/>
              </w:tblCellMar>
              <w:tblLook w:val="04A0"/>
            </w:tblPr>
            <w:tblGrid>
              <w:gridCol w:w="9360"/>
            </w:tblGrid>
            <w:tr w:rsidR="00C41052" w:rsidRPr="00C41052" w:rsidTr="00C41052">
              <w:trPr>
                <w:tblCellSpacing w:w="0" w:type="dxa"/>
                <w:jc w:val="center"/>
              </w:trPr>
              <w:tc>
                <w:tcPr>
                  <w:tcW w:w="0" w:type="auto"/>
                  <w:hideMark/>
                </w:tcPr>
                <w:tbl>
                  <w:tblPr>
                    <w:tblW w:w="5000" w:type="pct"/>
                    <w:jc w:val="center"/>
                    <w:tblCellSpacing w:w="0" w:type="dxa"/>
                    <w:shd w:val="clear" w:color="auto" w:fill="FFFFFF"/>
                    <w:tblCellMar>
                      <w:left w:w="300" w:type="dxa"/>
                      <w:right w:w="300" w:type="dxa"/>
                    </w:tblCellMar>
                    <w:tblLook w:val="04A0"/>
                  </w:tblPr>
                  <w:tblGrid>
                    <w:gridCol w:w="9360"/>
                  </w:tblGrid>
                  <w:tr w:rsidR="00C41052" w:rsidRPr="00C41052">
                    <w:trPr>
                      <w:trHeight w:val="75"/>
                      <w:tblCellSpacing w:w="0" w:type="dxa"/>
                      <w:jc w:val="center"/>
                    </w:trPr>
                    <w:tc>
                      <w:tcPr>
                        <w:tcW w:w="0" w:type="auto"/>
                        <w:shd w:val="clear" w:color="auto" w:fill="FFFFFF"/>
                        <w:vAlign w:val="center"/>
                        <w:hideMark/>
                      </w:tcPr>
                      <w:p w:rsidR="00C41052" w:rsidRPr="00C41052" w:rsidRDefault="00C41052" w:rsidP="00C41052">
                        <w:pPr>
                          <w:spacing w:after="0" w:line="0" w:lineRule="atLeast"/>
                          <w:rPr>
                            <w:rFonts w:eastAsia="Times New Roman" w:cstheme="minorHAnsi"/>
                            <w:color w:val="000000" w:themeColor="text1"/>
                            <w:sz w:val="24"/>
                            <w:szCs w:val="24"/>
                          </w:rPr>
                        </w:pPr>
                        <w:bookmarkStart w:id="0" w:name="m_-3251428881976769273_m_-68671061753576"/>
                        <w:r w:rsidRPr="00C41052">
                          <w:rPr>
                            <w:rFonts w:eastAsia="Times New Roman" w:cstheme="minorHAnsi"/>
                            <w:color w:val="000000" w:themeColor="text1"/>
                            <w:sz w:val="24"/>
                            <w:szCs w:val="24"/>
                          </w:rPr>
                          <w:t> </w:t>
                        </w:r>
                      </w:p>
                    </w:tc>
                  </w:tr>
                  <w:tr w:rsidR="00C41052" w:rsidRPr="00C41052">
                    <w:trPr>
                      <w:tblCellSpacing w:w="0" w:type="dxa"/>
                      <w:jc w:val="center"/>
                    </w:trPr>
                    <w:tc>
                      <w:tcPr>
                        <w:tcW w:w="0" w:type="auto"/>
                        <w:shd w:val="clear" w:color="auto" w:fill="FFFFFF"/>
                        <w:hideMark/>
                      </w:tcPr>
                      <w:tbl>
                        <w:tblPr>
                          <w:tblW w:w="5000" w:type="pct"/>
                          <w:tblCellSpacing w:w="0" w:type="dxa"/>
                          <w:tblCellMar>
                            <w:left w:w="0" w:type="dxa"/>
                            <w:right w:w="0" w:type="dxa"/>
                          </w:tblCellMar>
                          <w:tblLook w:val="04A0"/>
                        </w:tblPr>
                        <w:tblGrid>
                          <w:gridCol w:w="8760"/>
                        </w:tblGrid>
                        <w:tr w:rsidR="00C41052" w:rsidRPr="00C41052">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tblPr>
                              <w:tblGrid>
                                <w:gridCol w:w="8760"/>
                              </w:tblGrid>
                              <w:tr w:rsidR="00C41052" w:rsidRPr="00C41052">
                                <w:trPr>
                                  <w:tblCellSpacing w:w="0" w:type="dxa"/>
                                </w:trPr>
                                <w:tc>
                                  <w:tcPr>
                                    <w:tcW w:w="0" w:type="auto"/>
                                    <w:vAlign w:val="center"/>
                                    <w:hideMark/>
                                  </w:tcPr>
                                  <w:p w:rsidR="00C41052" w:rsidRPr="00C41052" w:rsidRDefault="00C41052" w:rsidP="00C41052">
                                    <w:pPr>
                                      <w:spacing w:after="0" w:line="315" w:lineRule="atLeast"/>
                                      <w:rPr>
                                        <w:rFonts w:eastAsia="Times New Roman" w:cstheme="minorHAnsi"/>
                                        <w:color w:val="000000" w:themeColor="text1"/>
                                        <w:sz w:val="24"/>
                                        <w:szCs w:val="24"/>
                                      </w:rPr>
                                    </w:pPr>
                                    <w:r w:rsidRPr="00C41052">
                                      <w:rPr>
                                        <w:rFonts w:eastAsia="Times New Roman" w:cstheme="minorHAnsi"/>
                                        <w:color w:val="000000" w:themeColor="text1"/>
                                        <w:sz w:val="24"/>
                                        <w:szCs w:val="24"/>
                                      </w:rPr>
                                      <w:t>The Council of Bars and Law Societies of Europe (CCBE) is deeply shocked by the death of Turkish lawyer Ebru Timtik on 27 August after a 238 days hunger strike.</w:t>
                                    </w:r>
                                  </w:p>
                                  <w:p w:rsidR="009B1015" w:rsidRDefault="00C41052" w:rsidP="00C41052">
                                    <w:pPr>
                                      <w:spacing w:after="0" w:line="315" w:lineRule="atLeast"/>
                                      <w:rPr>
                                        <w:rFonts w:eastAsia="Times New Roman" w:cstheme="minorHAnsi"/>
                                        <w:color w:val="000000" w:themeColor="text1"/>
                                        <w:sz w:val="24"/>
                                        <w:szCs w:val="24"/>
                                      </w:rPr>
                                    </w:pPr>
                                    <w:r w:rsidRPr="00C41052">
                                      <w:rPr>
                                        <w:rFonts w:eastAsia="Times New Roman" w:cstheme="minorHAnsi"/>
                                        <w:color w:val="000000" w:themeColor="text1"/>
                                        <w:sz w:val="24"/>
                                        <w:szCs w:val="24"/>
                                      </w:rPr>
                                      <w:t>Lawyers Ebru Timtik and Aytaç Ünsal, respectively sentenced to 13 and 6 months and 11 years and 6 months in prison, decided to go on an unlimited hunger strike to denounce their unfair trial as well as the unfair trial of several dozens of Turkish lawyers.</w:t>
                                    </w:r>
                                    <w:r w:rsidRPr="00C41052">
                                      <w:rPr>
                                        <w:rFonts w:eastAsia="Times New Roman" w:cstheme="minorHAnsi"/>
                                        <w:color w:val="000000" w:themeColor="text1"/>
                                        <w:sz w:val="24"/>
                                        <w:szCs w:val="24"/>
                                      </w:rPr>
                                      <w:br/>
                                      <w:t>(</w:t>
                                    </w:r>
                                    <w:hyperlink r:id="rId5" w:tgtFrame="_blank" w:history="1">
                                      <w:r w:rsidRPr="009B1015">
                                        <w:rPr>
                                          <w:rFonts w:eastAsia="Times New Roman" w:cstheme="minorHAnsi"/>
                                          <w:color w:val="000000" w:themeColor="text1"/>
                                          <w:sz w:val="24"/>
                                          <w:szCs w:val="24"/>
                                          <w:u w:val="single"/>
                                        </w:rPr>
                                        <w:t>https://www.ccbe.eu/fileadmin/speciality_distribution/public/documents/Human_right_portal/EN_20200618_Final-Report-Fact-Finding-Mission-on-CHD-s-Trials-Oct-2019-June-2020.pdf</w:t>
                                      </w:r>
                                    </w:hyperlink>
                                    <w:r w:rsidRPr="00C41052">
                                      <w:rPr>
                                        <w:rFonts w:eastAsia="Times New Roman" w:cstheme="minorHAnsi"/>
                                        <w:color w:val="000000" w:themeColor="text1"/>
                                        <w:sz w:val="24"/>
                                        <w:szCs w:val="24"/>
                                      </w:rPr>
                                      <w:t>)</w:t>
                                    </w:r>
                                  </w:p>
                                  <w:p w:rsidR="009B1015" w:rsidRDefault="00C41052" w:rsidP="00C41052">
                                    <w:pPr>
                                      <w:spacing w:after="0" w:line="315" w:lineRule="atLeast"/>
                                      <w:rPr>
                                        <w:rFonts w:eastAsia="Times New Roman" w:cstheme="minorHAnsi"/>
                                        <w:color w:val="000000" w:themeColor="text1"/>
                                        <w:sz w:val="24"/>
                                        <w:szCs w:val="24"/>
                                      </w:rPr>
                                    </w:pPr>
                                    <w:r w:rsidRPr="00C41052">
                                      <w:rPr>
                                        <w:rFonts w:eastAsia="Times New Roman" w:cstheme="minorHAnsi"/>
                                        <w:color w:val="000000" w:themeColor="text1"/>
                                        <w:sz w:val="24"/>
                                        <w:szCs w:val="24"/>
                                      </w:rPr>
                                      <w:br/>
                                      <w:t>Since 2017, several Turkish lawyers belonging to the Progressive Lawyers Association and the People's Law Office, among which Ebru Timtik and Aytaç Ünsal, have been victims of judicial harassment. These lawyers who have fought for Justice and the Rule of Law have defended, among others, persons considered to be opponents of the Turkish government, families of miners massacred in Soma and Ermenek, populations expelled from their homes as victims of urban transformation, families of citizens killed under torture in police stations and prisons as well as persons prosecuted for expressing their opinions, including civil servants, workers and defenders of freedoms.</w:t>
                                    </w:r>
                                    <w:r w:rsidRPr="00C41052">
                                      <w:rPr>
                                        <w:rFonts w:eastAsia="Times New Roman" w:cstheme="minorHAnsi"/>
                                        <w:color w:val="000000" w:themeColor="text1"/>
                                        <w:sz w:val="24"/>
                                        <w:szCs w:val="24"/>
                                      </w:rPr>
                                      <w:br/>
                                      <w:t>For exercising their legitimate activity as a lawyer, these lawyers have been accused of being members of a terrorist organisation under Turkey’s sweeping anti-terrorism laws and have therefore been the subject of legal proceedings.</w:t>
                                    </w:r>
                                    <w:r w:rsidRPr="00C41052">
                                      <w:rPr>
                                        <w:rFonts w:eastAsia="Times New Roman" w:cstheme="minorHAnsi"/>
                                        <w:color w:val="000000" w:themeColor="text1"/>
                                        <w:sz w:val="24"/>
                                        <w:szCs w:val="24"/>
                                      </w:rPr>
                                      <w:br/>
                                      <w:t>They did not receive a fair trial as guaranteed by Article 6 of the European Convention on Human Rights to which Turkey is a signatory.</w:t>
                                    </w:r>
                                    <w:r w:rsidRPr="00C41052">
                                      <w:rPr>
                                        <w:rFonts w:eastAsia="Times New Roman" w:cstheme="minorHAnsi"/>
                                        <w:color w:val="000000" w:themeColor="text1"/>
                                        <w:sz w:val="24"/>
                                        <w:szCs w:val="24"/>
                                      </w:rPr>
                                      <w:br/>
                                      <w:t>This is what led to the hunger strike of Ebru Timtik and Aytaç Ünsal.</w:t>
                                    </w:r>
                                    <w:r w:rsidRPr="00C41052">
                                      <w:rPr>
                                        <w:rFonts w:eastAsia="Times New Roman" w:cstheme="minorHAnsi"/>
                                        <w:color w:val="000000" w:themeColor="text1"/>
                                        <w:sz w:val="24"/>
                                        <w:szCs w:val="24"/>
                                      </w:rPr>
                                      <w:br/>
                                    </w:r>
                                  </w:p>
                                  <w:p w:rsidR="009B1015" w:rsidRDefault="00C41052" w:rsidP="00C41052">
                                    <w:pPr>
                                      <w:spacing w:after="0" w:line="315" w:lineRule="atLeast"/>
                                      <w:rPr>
                                        <w:rFonts w:eastAsia="Times New Roman" w:cstheme="minorHAnsi"/>
                                        <w:color w:val="000000" w:themeColor="text1"/>
                                        <w:sz w:val="24"/>
                                        <w:szCs w:val="24"/>
                                      </w:rPr>
                                    </w:pPr>
                                    <w:r w:rsidRPr="00C41052">
                                      <w:rPr>
                                        <w:rFonts w:eastAsia="Times New Roman" w:cstheme="minorHAnsi"/>
                                        <w:color w:val="000000" w:themeColor="text1"/>
                                        <w:sz w:val="24"/>
                                        <w:szCs w:val="24"/>
                                      </w:rPr>
                                      <w:t>The Turkish authorities failed to prevent the death of Ebru Timtik despite the appeals and medical reports concluding that they should not remain in jail.</w:t>
                                    </w:r>
                                    <w:r w:rsidRPr="00C41052">
                                      <w:rPr>
                                        <w:rFonts w:eastAsia="Times New Roman" w:cstheme="minorHAnsi"/>
                                        <w:color w:val="000000" w:themeColor="text1"/>
                                        <w:sz w:val="24"/>
                                        <w:szCs w:val="24"/>
                                      </w:rPr>
                                      <w:br/>
                                      <w:t>Aytaç Ünsal is still on hunger strike today and must not suffer the same tragic end as Ebru Timtik.</w:t>
                                    </w:r>
                                    <w:r w:rsidRPr="00C41052">
                                      <w:rPr>
                                        <w:rFonts w:eastAsia="Times New Roman" w:cstheme="minorHAnsi"/>
                                        <w:color w:val="000000" w:themeColor="text1"/>
                                        <w:sz w:val="24"/>
                                        <w:szCs w:val="24"/>
                                      </w:rPr>
                                      <w:br/>
                                    </w:r>
                                  </w:p>
                                  <w:p w:rsidR="009B1015" w:rsidRDefault="00C41052" w:rsidP="00C41052">
                                    <w:pPr>
                                      <w:spacing w:after="0" w:line="315" w:lineRule="atLeast"/>
                                      <w:rPr>
                                        <w:rFonts w:eastAsia="Times New Roman" w:cstheme="minorHAnsi"/>
                                        <w:color w:val="000000" w:themeColor="text1"/>
                                        <w:sz w:val="24"/>
                                        <w:szCs w:val="24"/>
                                      </w:rPr>
                                    </w:pPr>
                                    <w:r w:rsidRPr="00C41052">
                                      <w:rPr>
                                        <w:rFonts w:eastAsia="Times New Roman" w:cstheme="minorHAnsi"/>
                                        <w:color w:val="000000" w:themeColor="text1"/>
                                        <w:sz w:val="24"/>
                                        <w:szCs w:val="24"/>
                                      </w:rPr>
                                      <w:t xml:space="preserve">The CCBE president said today: “Ebru Timtik died in her struggle for justice. This is immensely sad and unacceptable. Lawyers play a crucial role in upholding the Rule of Law, and promoting and protecting human rights. This week will be celebrated the 30th anniversary of the UN Basic Principles on the role of lawyers. Turkey must take into account and respect the Basic Principles within the framework of its national legislation and practice by ensuring that lawyers are able to perform all of their professional </w:t>
                                    </w:r>
                                    <w:r w:rsidRPr="00C41052">
                                      <w:rPr>
                                        <w:rFonts w:eastAsia="Times New Roman" w:cstheme="minorHAnsi"/>
                                        <w:color w:val="000000" w:themeColor="text1"/>
                                        <w:sz w:val="24"/>
                                        <w:szCs w:val="24"/>
                                      </w:rPr>
                                      <w:lastRenderedPageBreak/>
                                      <w:t>functions without intimidation, hindrance, harassment or improper interference and shall not suffer, or be threatened with, prosecution or administrative, economic or other sanctions for any action taken in accordance with recognised professional duties, standards and ethics.”</w:t>
                                    </w:r>
                                    <w:r w:rsidRPr="00C41052">
                                      <w:rPr>
                                        <w:rFonts w:eastAsia="Times New Roman" w:cstheme="minorHAnsi"/>
                                        <w:color w:val="000000" w:themeColor="text1"/>
                                        <w:sz w:val="24"/>
                                        <w:szCs w:val="24"/>
                                      </w:rPr>
                                      <w:br/>
                                    </w:r>
                                  </w:p>
                                  <w:p w:rsidR="00C41052" w:rsidRPr="00C41052" w:rsidRDefault="00C41052" w:rsidP="00C41052">
                                    <w:pPr>
                                      <w:spacing w:after="0" w:line="315" w:lineRule="atLeast"/>
                                      <w:rPr>
                                        <w:rFonts w:eastAsia="Times New Roman" w:cstheme="minorHAnsi"/>
                                        <w:color w:val="000000" w:themeColor="text1"/>
                                        <w:sz w:val="24"/>
                                        <w:szCs w:val="24"/>
                                      </w:rPr>
                                    </w:pPr>
                                    <w:r w:rsidRPr="00C41052">
                                      <w:rPr>
                                        <w:rFonts w:eastAsia="Times New Roman" w:cstheme="minorHAnsi"/>
                                        <w:color w:val="000000" w:themeColor="text1"/>
                                        <w:sz w:val="24"/>
                                        <w:szCs w:val="24"/>
                                      </w:rPr>
                                      <w:t>The CCBE calls on the EU and the Turkish authorities to do everything in their power to save the life of lawyer Aytaç Ünsal and to guarantee him a fair trial.</w:t>
                                    </w:r>
                                    <w:r w:rsidRPr="00C41052">
                                      <w:rPr>
                                        <w:rFonts w:eastAsia="Times New Roman" w:cstheme="minorHAnsi"/>
                                        <w:color w:val="000000" w:themeColor="text1"/>
                                        <w:sz w:val="24"/>
                                        <w:szCs w:val="24"/>
                                      </w:rPr>
                                      <w:br/>
                                      <w:t>All lawyers in Turkey must be able to carry out their professional duties to preserve the independence and integrity of the administration of justice and the Rule of Law.</w:t>
                                    </w:r>
                                    <w:r w:rsidRPr="00C41052">
                                      <w:rPr>
                                        <w:rFonts w:eastAsia="Times New Roman" w:cstheme="minorHAnsi"/>
                                        <w:color w:val="000000" w:themeColor="text1"/>
                                        <w:sz w:val="24"/>
                                        <w:szCs w:val="24"/>
                                      </w:rPr>
                                      <w:br/>
                                      <w:t> </w:t>
                                    </w:r>
                                  </w:p>
                                </w:tc>
                              </w:tr>
                            </w:tbl>
                            <w:p w:rsidR="00C41052" w:rsidRPr="00C41052" w:rsidRDefault="00C41052" w:rsidP="00C41052">
                              <w:pPr>
                                <w:spacing w:after="0" w:line="240" w:lineRule="auto"/>
                                <w:rPr>
                                  <w:rFonts w:eastAsia="Times New Roman" w:cstheme="minorHAnsi"/>
                                  <w:color w:val="000000" w:themeColor="text1"/>
                                  <w:sz w:val="24"/>
                                  <w:szCs w:val="24"/>
                                </w:rPr>
                              </w:pPr>
                            </w:p>
                          </w:tc>
                        </w:tr>
                      </w:tbl>
                      <w:p w:rsidR="00C41052" w:rsidRPr="00C41052" w:rsidRDefault="00C41052" w:rsidP="00C41052">
                        <w:pPr>
                          <w:spacing w:after="0" w:line="240" w:lineRule="auto"/>
                          <w:rPr>
                            <w:rFonts w:eastAsia="Times New Roman" w:cstheme="minorHAnsi"/>
                            <w:color w:val="000000" w:themeColor="text1"/>
                            <w:sz w:val="24"/>
                            <w:szCs w:val="24"/>
                          </w:rPr>
                        </w:pPr>
                      </w:p>
                    </w:tc>
                  </w:tr>
                  <w:tr w:rsidR="00C41052" w:rsidRPr="00C41052">
                    <w:trPr>
                      <w:trHeight w:val="300"/>
                      <w:tblCellSpacing w:w="0" w:type="dxa"/>
                      <w:jc w:val="center"/>
                    </w:trPr>
                    <w:tc>
                      <w:tcPr>
                        <w:tcW w:w="0" w:type="auto"/>
                        <w:shd w:val="clear" w:color="auto" w:fill="FFFFFF"/>
                        <w:vAlign w:val="center"/>
                        <w:hideMark/>
                      </w:tcPr>
                      <w:p w:rsidR="00C41052" w:rsidRPr="00C41052" w:rsidRDefault="00C41052" w:rsidP="00C41052">
                        <w:pPr>
                          <w:spacing w:after="0" w:line="0" w:lineRule="atLeast"/>
                          <w:rPr>
                            <w:rFonts w:eastAsia="Times New Roman" w:cstheme="minorHAnsi"/>
                            <w:color w:val="000000" w:themeColor="text1"/>
                            <w:sz w:val="24"/>
                            <w:szCs w:val="24"/>
                          </w:rPr>
                        </w:pPr>
                        <w:r w:rsidRPr="00C41052">
                          <w:rPr>
                            <w:rFonts w:eastAsia="Times New Roman" w:cstheme="minorHAnsi"/>
                            <w:color w:val="000000" w:themeColor="text1"/>
                            <w:sz w:val="24"/>
                            <w:szCs w:val="24"/>
                          </w:rPr>
                          <w:lastRenderedPageBreak/>
                          <w:t> </w:t>
                        </w:r>
                      </w:p>
                    </w:tc>
                  </w:tr>
                </w:tbl>
                <w:p w:rsidR="00C41052" w:rsidRPr="00C41052" w:rsidRDefault="00C41052" w:rsidP="00C41052">
                  <w:pPr>
                    <w:spacing w:after="0" w:line="240" w:lineRule="auto"/>
                    <w:rPr>
                      <w:rFonts w:eastAsia="Times New Roman" w:cstheme="minorHAnsi"/>
                      <w:color w:val="000000" w:themeColor="text1"/>
                      <w:sz w:val="24"/>
                      <w:szCs w:val="24"/>
                    </w:rPr>
                  </w:pPr>
                </w:p>
              </w:tc>
            </w:tr>
          </w:tbl>
          <w:p w:rsidR="00C41052" w:rsidRPr="00C41052" w:rsidRDefault="00C41052" w:rsidP="00C41052">
            <w:pPr>
              <w:shd w:val="clear" w:color="auto" w:fill="FFFFFF"/>
              <w:spacing w:after="0" w:line="240" w:lineRule="auto"/>
              <w:rPr>
                <w:rFonts w:eastAsia="Times New Roman" w:cstheme="minorHAnsi"/>
                <w:color w:val="000000" w:themeColor="text1"/>
                <w:sz w:val="24"/>
                <w:szCs w:val="24"/>
              </w:rPr>
            </w:pPr>
          </w:p>
        </w:tc>
      </w:tr>
      <w:tr w:rsidR="00C41052" w:rsidRPr="00C41052" w:rsidTr="00C41052">
        <w:trPr>
          <w:tblCellSpacing w:w="0" w:type="dxa"/>
        </w:trPr>
        <w:tc>
          <w:tcPr>
            <w:tcW w:w="0" w:type="auto"/>
            <w:shd w:val="clear" w:color="auto" w:fill="FAFAFA"/>
            <w:hideMark/>
          </w:tcPr>
          <w:tbl>
            <w:tblPr>
              <w:tblW w:w="5000" w:type="pct"/>
              <w:jc w:val="center"/>
              <w:tblCellSpacing w:w="0" w:type="dxa"/>
              <w:tblCellMar>
                <w:left w:w="0" w:type="dxa"/>
                <w:right w:w="0" w:type="dxa"/>
              </w:tblCellMar>
              <w:tblLook w:val="04A0"/>
            </w:tblPr>
            <w:tblGrid>
              <w:gridCol w:w="9360"/>
            </w:tblGrid>
            <w:tr w:rsidR="00C41052" w:rsidRPr="00C41052" w:rsidTr="00C41052">
              <w:trPr>
                <w:tblCellSpacing w:w="0" w:type="dxa"/>
                <w:jc w:val="center"/>
              </w:trPr>
              <w:tc>
                <w:tcPr>
                  <w:tcW w:w="0" w:type="auto"/>
                  <w:hideMark/>
                </w:tcPr>
                <w:tbl>
                  <w:tblPr>
                    <w:tblW w:w="5000" w:type="pct"/>
                    <w:jc w:val="center"/>
                    <w:tblCellSpacing w:w="0" w:type="dxa"/>
                    <w:tblBorders>
                      <w:bottom w:val="single" w:sz="6" w:space="0" w:color="C8C8C8"/>
                    </w:tblBorders>
                    <w:shd w:val="clear" w:color="auto" w:fill="FFFFFF"/>
                    <w:tblCellMar>
                      <w:left w:w="300" w:type="dxa"/>
                      <w:right w:w="300" w:type="dxa"/>
                    </w:tblCellMar>
                    <w:tblLook w:val="04A0"/>
                  </w:tblPr>
                  <w:tblGrid>
                    <w:gridCol w:w="9360"/>
                  </w:tblGrid>
                  <w:tr w:rsidR="00C41052" w:rsidRPr="00C41052">
                    <w:trPr>
                      <w:trHeight w:val="300"/>
                      <w:tblCellSpacing w:w="0" w:type="dxa"/>
                      <w:jc w:val="center"/>
                    </w:trPr>
                    <w:tc>
                      <w:tcPr>
                        <w:tcW w:w="0" w:type="auto"/>
                        <w:shd w:val="clear" w:color="auto" w:fill="FFFFFF"/>
                        <w:vAlign w:val="center"/>
                        <w:hideMark/>
                      </w:tcPr>
                      <w:p w:rsidR="00C41052" w:rsidRPr="00C41052" w:rsidRDefault="00C41052" w:rsidP="00C41052">
                        <w:pPr>
                          <w:spacing w:after="0" w:line="0" w:lineRule="atLeast"/>
                          <w:rPr>
                            <w:rFonts w:eastAsia="Times New Roman" w:cstheme="minorHAnsi"/>
                            <w:color w:val="000000" w:themeColor="text1"/>
                            <w:sz w:val="24"/>
                            <w:szCs w:val="24"/>
                          </w:rPr>
                        </w:pPr>
                        <w:r w:rsidRPr="00C41052">
                          <w:rPr>
                            <w:rFonts w:eastAsia="Times New Roman" w:cstheme="minorHAnsi"/>
                            <w:color w:val="000000" w:themeColor="text1"/>
                            <w:sz w:val="24"/>
                            <w:szCs w:val="24"/>
                          </w:rPr>
                          <w:lastRenderedPageBreak/>
                          <w:t> </w:t>
                        </w:r>
                      </w:p>
                    </w:tc>
                  </w:tr>
                  <w:tr w:rsidR="00C41052" w:rsidRPr="00C41052">
                    <w:trPr>
                      <w:tblCellSpacing w:w="0" w:type="dxa"/>
                      <w:jc w:val="center"/>
                    </w:trPr>
                    <w:tc>
                      <w:tcPr>
                        <w:tcW w:w="0" w:type="auto"/>
                        <w:shd w:val="clear" w:color="auto" w:fill="FFFFFF"/>
                        <w:hideMark/>
                      </w:tcPr>
                      <w:tbl>
                        <w:tblPr>
                          <w:tblW w:w="5000" w:type="pct"/>
                          <w:tblCellSpacing w:w="0" w:type="dxa"/>
                          <w:tblCellMar>
                            <w:left w:w="0" w:type="dxa"/>
                            <w:right w:w="0" w:type="dxa"/>
                          </w:tblCellMar>
                          <w:tblLook w:val="04A0"/>
                        </w:tblPr>
                        <w:tblGrid>
                          <w:gridCol w:w="8760"/>
                        </w:tblGrid>
                        <w:tr w:rsidR="00C41052" w:rsidRPr="00C41052">
                          <w:trPr>
                            <w:tblCellSpacing w:w="0" w:type="dxa"/>
                          </w:trPr>
                          <w:tc>
                            <w:tcPr>
                              <w:tcW w:w="0" w:type="auto"/>
                              <w:hideMark/>
                            </w:tcPr>
                            <w:tbl>
                              <w:tblPr>
                                <w:tblpPr w:leftFromText="45" w:rightFromText="45" w:vertAnchor="text"/>
                                <w:tblW w:w="5000" w:type="pct"/>
                                <w:tblCellSpacing w:w="0" w:type="dxa"/>
                                <w:tblCellMar>
                                  <w:left w:w="0" w:type="dxa"/>
                                  <w:right w:w="0" w:type="dxa"/>
                                </w:tblCellMar>
                                <w:tblLook w:val="04A0"/>
                              </w:tblPr>
                              <w:tblGrid>
                                <w:gridCol w:w="8760"/>
                              </w:tblGrid>
                              <w:tr w:rsidR="00C41052" w:rsidRPr="00C41052">
                                <w:trPr>
                                  <w:tblCellSpacing w:w="0" w:type="dxa"/>
                                </w:trPr>
                                <w:tc>
                                  <w:tcPr>
                                    <w:tcW w:w="0" w:type="auto"/>
                                    <w:vAlign w:val="center"/>
                                    <w:hideMark/>
                                  </w:tcPr>
                                  <w:bookmarkEnd w:id="0"/>
                                  <w:p w:rsidR="00C41052" w:rsidRPr="00C41052" w:rsidRDefault="00C41052" w:rsidP="00C41052">
                                    <w:pPr>
                                      <w:spacing w:after="0" w:line="315" w:lineRule="atLeast"/>
                                      <w:jc w:val="right"/>
                                      <w:rPr>
                                        <w:rFonts w:eastAsia="Times New Roman" w:cstheme="minorHAnsi"/>
                                        <w:color w:val="000000" w:themeColor="text1"/>
                                        <w:sz w:val="24"/>
                                        <w:szCs w:val="24"/>
                                      </w:rPr>
                                    </w:pPr>
                                    <w:r w:rsidRPr="00C41052">
                                      <w:rPr>
                                        <w:rFonts w:eastAsia="Times New Roman" w:cstheme="minorHAnsi"/>
                                        <w:color w:val="000000" w:themeColor="text1"/>
                                        <w:sz w:val="24"/>
                                        <w:szCs w:val="24"/>
                                      </w:rPr>
                                      <w:t>For further information,</w:t>
                                    </w:r>
                                    <w:r w:rsidRPr="00C41052">
                                      <w:rPr>
                                        <w:rFonts w:eastAsia="Times New Roman" w:cstheme="minorHAnsi"/>
                                        <w:color w:val="000000" w:themeColor="text1"/>
                                        <w:sz w:val="24"/>
                                        <w:szCs w:val="24"/>
                                      </w:rPr>
                                      <w:br/>
                                      <w:t>please contact Karine Métayer</w:t>
                                    </w:r>
                                    <w:r w:rsidRPr="00C41052">
                                      <w:rPr>
                                        <w:rFonts w:eastAsia="Times New Roman" w:cstheme="minorHAnsi"/>
                                        <w:color w:val="000000" w:themeColor="text1"/>
                                        <w:sz w:val="24"/>
                                        <w:szCs w:val="24"/>
                                      </w:rPr>
                                      <w:br/>
                                      <w:t>Communication Manager</w:t>
                                    </w:r>
                                    <w:r w:rsidRPr="00C41052">
                                      <w:rPr>
                                        <w:rFonts w:eastAsia="Times New Roman" w:cstheme="minorHAnsi"/>
                                        <w:color w:val="000000" w:themeColor="text1"/>
                                        <w:sz w:val="24"/>
                                        <w:szCs w:val="24"/>
                                      </w:rPr>
                                      <w:br/>
                                      <w:t>+32 (0)2 234 65 10</w:t>
                                    </w:r>
                                    <w:r w:rsidRPr="00C41052">
                                      <w:rPr>
                                        <w:rFonts w:eastAsia="Times New Roman" w:cstheme="minorHAnsi"/>
                                        <w:color w:val="000000" w:themeColor="text1"/>
                                        <w:sz w:val="24"/>
                                        <w:szCs w:val="24"/>
                                      </w:rPr>
                                      <w:br/>
                                    </w:r>
                                    <w:hyperlink r:id="rId6" w:tgtFrame="_blank" w:history="1">
                                      <w:r w:rsidRPr="009B1015">
                                        <w:rPr>
                                          <w:rFonts w:eastAsia="Times New Roman" w:cstheme="minorHAnsi"/>
                                          <w:color w:val="000000" w:themeColor="text1"/>
                                          <w:sz w:val="24"/>
                                          <w:szCs w:val="24"/>
                                          <w:u w:val="single"/>
                                        </w:rPr>
                                        <w:t>metayer@ccbe.eu</w:t>
                                      </w:r>
                                    </w:hyperlink>
                                  </w:p>
                                </w:tc>
                              </w:tr>
                            </w:tbl>
                            <w:p w:rsidR="00C41052" w:rsidRPr="00C41052" w:rsidRDefault="00C41052" w:rsidP="00C41052">
                              <w:pPr>
                                <w:spacing w:after="0" w:line="240" w:lineRule="auto"/>
                                <w:rPr>
                                  <w:rFonts w:eastAsia="Times New Roman" w:cstheme="minorHAnsi"/>
                                  <w:color w:val="000000" w:themeColor="text1"/>
                                  <w:sz w:val="24"/>
                                  <w:szCs w:val="24"/>
                                </w:rPr>
                              </w:pPr>
                            </w:p>
                          </w:tc>
                        </w:tr>
                      </w:tbl>
                      <w:p w:rsidR="00C41052" w:rsidRPr="00C41052" w:rsidRDefault="00C41052" w:rsidP="00C41052">
                        <w:pPr>
                          <w:spacing w:after="0" w:line="240" w:lineRule="auto"/>
                          <w:rPr>
                            <w:rFonts w:eastAsia="Times New Roman" w:cstheme="minorHAnsi"/>
                            <w:color w:val="000000" w:themeColor="text1"/>
                            <w:sz w:val="24"/>
                            <w:szCs w:val="24"/>
                          </w:rPr>
                        </w:pPr>
                      </w:p>
                    </w:tc>
                  </w:tr>
                </w:tbl>
                <w:p w:rsidR="00C41052" w:rsidRPr="00C41052" w:rsidRDefault="00C41052" w:rsidP="00C41052">
                  <w:pPr>
                    <w:spacing w:after="0" w:line="240" w:lineRule="auto"/>
                    <w:jc w:val="center"/>
                    <w:rPr>
                      <w:rFonts w:eastAsia="Times New Roman" w:cstheme="minorHAnsi"/>
                      <w:color w:val="000000" w:themeColor="text1"/>
                      <w:sz w:val="24"/>
                      <w:szCs w:val="24"/>
                    </w:rPr>
                  </w:pPr>
                </w:p>
              </w:tc>
            </w:tr>
          </w:tbl>
          <w:p w:rsidR="00C41052" w:rsidRPr="00C41052" w:rsidRDefault="00C41052" w:rsidP="00C41052">
            <w:pPr>
              <w:shd w:val="clear" w:color="auto" w:fill="FFFFFF"/>
              <w:spacing w:after="0" w:line="240" w:lineRule="auto"/>
              <w:jc w:val="center"/>
              <w:rPr>
                <w:rFonts w:eastAsia="Times New Roman" w:cstheme="minorHAnsi"/>
                <w:color w:val="000000" w:themeColor="text1"/>
                <w:sz w:val="24"/>
                <w:szCs w:val="24"/>
              </w:rPr>
            </w:pPr>
          </w:p>
        </w:tc>
      </w:tr>
    </w:tbl>
    <w:p w:rsidR="00B00C74" w:rsidRPr="009B1015" w:rsidRDefault="00B00C74">
      <w:pPr>
        <w:rPr>
          <w:rFonts w:cstheme="minorHAnsi"/>
          <w:color w:val="000000" w:themeColor="text1"/>
          <w:sz w:val="24"/>
          <w:szCs w:val="24"/>
        </w:rPr>
      </w:pPr>
    </w:p>
    <w:sectPr w:rsidR="00B00C74" w:rsidRPr="009B1015" w:rsidSect="00B00C7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41052"/>
    <w:rsid w:val="009B1015"/>
    <w:rsid w:val="00B00C74"/>
    <w:rsid w:val="00C41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C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1052"/>
    <w:rPr>
      <w:color w:val="0000FF"/>
      <w:u w:val="single"/>
    </w:rPr>
  </w:style>
</w:styles>
</file>

<file path=word/webSettings.xml><?xml version="1.0" encoding="utf-8"?>
<w:webSettings xmlns:r="http://schemas.openxmlformats.org/officeDocument/2006/relationships" xmlns:w="http://schemas.openxmlformats.org/wordprocessingml/2006/main">
  <w:divs>
    <w:div w:id="1969042939">
      <w:bodyDiv w:val="1"/>
      <w:marLeft w:val="0"/>
      <w:marRight w:val="0"/>
      <w:marTop w:val="0"/>
      <w:marBottom w:val="0"/>
      <w:divBdr>
        <w:top w:val="none" w:sz="0" w:space="0" w:color="auto"/>
        <w:left w:val="none" w:sz="0" w:space="0" w:color="auto"/>
        <w:bottom w:val="none" w:sz="0" w:space="0" w:color="auto"/>
        <w:right w:val="none" w:sz="0" w:space="0" w:color="auto"/>
      </w:divBdr>
      <w:divsChild>
        <w:div w:id="957029402">
          <w:marLeft w:val="0"/>
          <w:marRight w:val="0"/>
          <w:marTop w:val="0"/>
          <w:marBottom w:val="0"/>
          <w:divBdr>
            <w:top w:val="none" w:sz="0" w:space="0" w:color="auto"/>
            <w:left w:val="none" w:sz="0" w:space="0" w:color="auto"/>
            <w:bottom w:val="none" w:sz="0" w:space="0" w:color="auto"/>
            <w:right w:val="none" w:sz="0" w:space="0" w:color="auto"/>
          </w:divBdr>
        </w:div>
        <w:div w:id="2081635163">
          <w:marLeft w:val="0"/>
          <w:marRight w:val="0"/>
          <w:marTop w:val="0"/>
          <w:marBottom w:val="0"/>
          <w:divBdr>
            <w:top w:val="none" w:sz="0" w:space="0" w:color="auto"/>
            <w:left w:val="none" w:sz="0" w:space="0" w:color="auto"/>
            <w:bottom w:val="none" w:sz="0" w:space="0" w:color="auto"/>
            <w:right w:val="none" w:sz="0" w:space="0" w:color="auto"/>
          </w:divBdr>
          <w:divsChild>
            <w:div w:id="524564347">
              <w:marLeft w:val="0"/>
              <w:marRight w:val="0"/>
              <w:marTop w:val="0"/>
              <w:marBottom w:val="0"/>
              <w:divBdr>
                <w:top w:val="none" w:sz="0" w:space="0" w:color="auto"/>
                <w:left w:val="none" w:sz="0" w:space="0" w:color="auto"/>
                <w:bottom w:val="none" w:sz="0" w:space="0" w:color="auto"/>
                <w:right w:val="none" w:sz="0" w:space="0" w:color="auto"/>
              </w:divBdr>
            </w:div>
            <w:div w:id="2131363393">
              <w:marLeft w:val="0"/>
              <w:marRight w:val="0"/>
              <w:marTop w:val="0"/>
              <w:marBottom w:val="0"/>
              <w:divBdr>
                <w:top w:val="none" w:sz="0" w:space="0" w:color="auto"/>
                <w:left w:val="none" w:sz="0" w:space="0" w:color="auto"/>
                <w:bottom w:val="none" w:sz="0" w:space="0" w:color="auto"/>
                <w:right w:val="none" w:sz="0" w:space="0" w:color="auto"/>
              </w:divBdr>
            </w:div>
          </w:divsChild>
        </w:div>
        <w:div w:id="508108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tayer@ccbe.eu" TargetMode="External"/><Relationship Id="rId5" Type="http://schemas.openxmlformats.org/officeDocument/2006/relationships/hyperlink" Target="http://r.email3.wikafi.be/mk/cl/f/jAkam8mRY0ryQMBKu9IBapwJXfcpMb6mQkEtttG4xzuUQ-ctKQlvFKFOLqPIezkAhhPCQyFx3ZcWDYdCsYJPqkJCmS9xW199vGHlvwTwgh2IlPOu88nx3i8Qb5dzpmdd34VtmQuJgflLpUKgCYNK-0GBbrkKzM817yR44p1mNKxwjFFSgrkC5eUR5xMCQ7JOh8oZwyhgduh4GVtevKPMC7MttWrdidbzVoKgWV0Kfbk1YQ7Hqct6X9QinRaFDB387YRVCTZnjlo8u7WAueB-U-kJvHilqsAY8H7v1K_k6ABm9ngvC9evemLrvfA6P8MlI87OhpfeREIE0wPah4mWDpEDZ58-OuS2iPwOGNEtSQucM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7FFA9-5D4C-455D-A842-76907F8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2020-09-01T05:19:00Z</dcterms:created>
  <dcterms:modified xsi:type="dcterms:W3CDTF">2020-09-01T05:20:00Z</dcterms:modified>
</cp:coreProperties>
</file>