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E3605" w14:textId="77777777" w:rsidR="00C37393" w:rsidRPr="00DD6488" w:rsidRDefault="00C37393" w:rsidP="00AA375F">
      <w:pPr>
        <w:widowControl w:val="0"/>
        <w:autoSpaceDE w:val="0"/>
        <w:autoSpaceDN w:val="0"/>
        <w:adjustRightInd w:val="0"/>
        <w:spacing w:line="276" w:lineRule="auto"/>
        <w:jc w:val="both"/>
        <w:rPr>
          <w:rFonts w:eastAsia="Times New Roman" w:cs="Arial"/>
        </w:rPr>
      </w:pPr>
    </w:p>
    <w:p w14:paraId="3B1B3C9A" w14:textId="77777777" w:rsidR="00C574C9" w:rsidRPr="00DD6488" w:rsidRDefault="00C574C9" w:rsidP="00AA375F">
      <w:pPr>
        <w:spacing w:before="60" w:after="60" w:line="276" w:lineRule="auto"/>
        <w:jc w:val="both"/>
        <w:rPr>
          <w:rFonts w:ascii="Times New Roman" w:hAnsi="Times New Roman"/>
          <w:b/>
          <w:bCs/>
          <w:i/>
          <w:iCs/>
          <w:sz w:val="28"/>
          <w:szCs w:val="28"/>
        </w:rPr>
      </w:pPr>
    </w:p>
    <w:p w14:paraId="1EF0B12C" w14:textId="428B5657" w:rsidR="00424F0A" w:rsidRPr="00DD6488" w:rsidRDefault="00472F22" w:rsidP="00AA375F">
      <w:pPr>
        <w:spacing w:before="60" w:after="60" w:line="276" w:lineRule="auto"/>
        <w:jc w:val="both"/>
        <w:rPr>
          <w:rFonts w:ascii="Times New Roman" w:hAnsi="Times New Roman"/>
          <w:b/>
          <w:bCs/>
          <w:i/>
          <w:iCs/>
          <w:sz w:val="28"/>
          <w:szCs w:val="28"/>
        </w:rPr>
      </w:pPr>
      <w:r w:rsidRPr="00DD6488">
        <w:rPr>
          <w:rFonts w:ascii="Times New Roman" w:hAnsi="Times New Roman"/>
          <w:b/>
          <w:bCs/>
          <w:i/>
          <w:iCs/>
          <w:sz w:val="28"/>
          <w:szCs w:val="28"/>
        </w:rPr>
        <w:t>337</w:t>
      </w:r>
      <w:r w:rsidR="00424F0A" w:rsidRPr="00DD6488">
        <w:rPr>
          <w:rFonts w:ascii="Times New Roman" w:hAnsi="Times New Roman"/>
          <w:b/>
          <w:bCs/>
          <w:i/>
          <w:iCs/>
          <w:sz w:val="28"/>
          <w:szCs w:val="28"/>
        </w:rPr>
        <w:t>-AUT-2020</w:t>
      </w:r>
    </w:p>
    <w:p w14:paraId="12C99491" w14:textId="335A58D0" w:rsidR="00424F0A" w:rsidRPr="00DD6488" w:rsidRDefault="00472F22" w:rsidP="00AA375F">
      <w:pPr>
        <w:spacing w:before="60" w:after="60" w:line="276" w:lineRule="auto"/>
        <w:jc w:val="both"/>
        <w:rPr>
          <w:rFonts w:ascii="Times New Roman" w:hAnsi="Times New Roman"/>
          <w:b/>
          <w:bCs/>
          <w:i/>
          <w:iCs/>
          <w:sz w:val="28"/>
          <w:szCs w:val="28"/>
        </w:rPr>
      </w:pPr>
      <w:r w:rsidRPr="00DD6488">
        <w:rPr>
          <w:rFonts w:ascii="Times New Roman" w:hAnsi="Times New Roman"/>
          <w:b/>
          <w:bCs/>
          <w:i/>
          <w:iCs/>
          <w:sz w:val="28"/>
          <w:szCs w:val="28"/>
        </w:rPr>
        <w:t>07.12.2020</w:t>
      </w:r>
    </w:p>
    <w:p w14:paraId="5A553F43" w14:textId="77777777" w:rsidR="00424F0A" w:rsidRPr="00DD6488" w:rsidRDefault="00424F0A" w:rsidP="00AA375F">
      <w:pPr>
        <w:spacing w:before="60" w:after="60" w:line="276" w:lineRule="auto"/>
        <w:jc w:val="both"/>
        <w:rPr>
          <w:rFonts w:ascii="Times New Roman" w:hAnsi="Times New Roman"/>
          <w:b/>
          <w:bCs/>
          <w:sz w:val="28"/>
          <w:szCs w:val="28"/>
        </w:rPr>
      </w:pPr>
    </w:p>
    <w:p w14:paraId="1368DD36" w14:textId="77777777" w:rsidR="00C574C9" w:rsidRPr="00DD6488" w:rsidRDefault="00C574C9" w:rsidP="00AA375F">
      <w:pPr>
        <w:spacing w:before="60" w:after="60" w:line="276" w:lineRule="auto"/>
        <w:jc w:val="both"/>
        <w:rPr>
          <w:rFonts w:ascii="Times New Roman" w:hAnsi="Times New Roman"/>
          <w:b/>
          <w:bCs/>
          <w:sz w:val="28"/>
          <w:szCs w:val="28"/>
        </w:rPr>
      </w:pPr>
    </w:p>
    <w:p w14:paraId="38FB1B5D" w14:textId="3BCB7121" w:rsidR="00424F0A" w:rsidRPr="00DD6488" w:rsidRDefault="00424F0A" w:rsidP="00AA375F">
      <w:pPr>
        <w:spacing w:before="60" w:after="60" w:line="276" w:lineRule="auto"/>
        <w:jc w:val="both"/>
        <w:rPr>
          <w:rFonts w:ascii="Times New Roman" w:hAnsi="Times New Roman"/>
          <w:b/>
          <w:bCs/>
          <w:sz w:val="28"/>
          <w:szCs w:val="28"/>
        </w:rPr>
      </w:pPr>
      <w:r w:rsidRPr="00DD6488">
        <w:rPr>
          <w:rFonts w:ascii="Times New Roman" w:hAnsi="Times New Roman"/>
          <w:b/>
          <w:bCs/>
          <w:sz w:val="28"/>
          <w:szCs w:val="28"/>
        </w:rPr>
        <w:t xml:space="preserve">Către: Comisia juridică, de disciplină </w:t>
      </w:r>
      <w:r w:rsidR="00142D11">
        <w:rPr>
          <w:rFonts w:ascii="Times New Roman" w:hAnsi="Times New Roman"/>
          <w:b/>
          <w:bCs/>
          <w:sz w:val="28"/>
          <w:szCs w:val="28"/>
        </w:rPr>
        <w:t>ș</w:t>
      </w:r>
      <w:r w:rsidRPr="00DD6488">
        <w:rPr>
          <w:rFonts w:ascii="Times New Roman" w:hAnsi="Times New Roman"/>
          <w:b/>
          <w:bCs/>
          <w:sz w:val="28"/>
          <w:szCs w:val="28"/>
        </w:rPr>
        <w:t xml:space="preserve">i </w:t>
      </w:r>
      <w:r w:rsidR="00AA375F" w:rsidRPr="00DD6488">
        <w:rPr>
          <w:rFonts w:ascii="Times New Roman" w:hAnsi="Times New Roman"/>
          <w:b/>
          <w:bCs/>
          <w:sz w:val="28"/>
          <w:szCs w:val="28"/>
        </w:rPr>
        <w:t>imunită</w:t>
      </w:r>
      <w:r w:rsidR="00142D11">
        <w:rPr>
          <w:rFonts w:ascii="Times New Roman" w:hAnsi="Times New Roman"/>
          <w:b/>
          <w:bCs/>
          <w:sz w:val="28"/>
          <w:szCs w:val="28"/>
        </w:rPr>
        <w:t>ț</w:t>
      </w:r>
      <w:r w:rsidR="00AA375F" w:rsidRPr="00DD6488">
        <w:rPr>
          <w:rFonts w:ascii="Times New Roman" w:hAnsi="Times New Roman"/>
          <w:b/>
          <w:bCs/>
          <w:sz w:val="28"/>
          <w:szCs w:val="28"/>
        </w:rPr>
        <w:t>i</w:t>
      </w:r>
      <w:r w:rsidR="00AF3555" w:rsidRPr="00DD6488">
        <w:rPr>
          <w:rFonts w:ascii="Times New Roman" w:hAnsi="Times New Roman"/>
          <w:b/>
          <w:bCs/>
          <w:sz w:val="28"/>
          <w:szCs w:val="28"/>
        </w:rPr>
        <w:t xml:space="preserve"> a Camerei Deputa</w:t>
      </w:r>
      <w:r w:rsidR="00142D11">
        <w:rPr>
          <w:rFonts w:ascii="Times New Roman" w:hAnsi="Times New Roman"/>
          <w:b/>
          <w:bCs/>
          <w:sz w:val="28"/>
          <w:szCs w:val="28"/>
        </w:rPr>
        <w:t>ț</w:t>
      </w:r>
      <w:r w:rsidR="00AF3555" w:rsidRPr="00DD6488">
        <w:rPr>
          <w:rFonts w:ascii="Times New Roman" w:hAnsi="Times New Roman"/>
          <w:b/>
          <w:bCs/>
          <w:sz w:val="28"/>
          <w:szCs w:val="28"/>
        </w:rPr>
        <w:t>ilor</w:t>
      </w:r>
    </w:p>
    <w:p w14:paraId="145581D9" w14:textId="72DCD6ED" w:rsidR="00424F0A" w:rsidRPr="00DD6488" w:rsidRDefault="00424F0A" w:rsidP="00AA375F">
      <w:pPr>
        <w:spacing w:before="60" w:after="60" w:line="276" w:lineRule="auto"/>
        <w:jc w:val="both"/>
        <w:rPr>
          <w:rFonts w:ascii="Times New Roman" w:hAnsi="Times New Roman"/>
          <w:b/>
          <w:bCs/>
          <w:sz w:val="28"/>
          <w:szCs w:val="28"/>
        </w:rPr>
      </w:pPr>
      <w:r w:rsidRPr="00DD6488">
        <w:rPr>
          <w:rFonts w:ascii="Times New Roman" w:hAnsi="Times New Roman"/>
          <w:b/>
          <w:bCs/>
          <w:sz w:val="28"/>
          <w:szCs w:val="28"/>
        </w:rPr>
        <w:t>Domnului Pre</w:t>
      </w:r>
      <w:r w:rsidR="00142D11">
        <w:rPr>
          <w:rFonts w:ascii="Times New Roman" w:hAnsi="Times New Roman"/>
          <w:b/>
          <w:bCs/>
          <w:sz w:val="28"/>
          <w:szCs w:val="28"/>
        </w:rPr>
        <w:t>ș</w:t>
      </w:r>
      <w:r w:rsidRPr="00DD6488">
        <w:rPr>
          <w:rFonts w:ascii="Times New Roman" w:hAnsi="Times New Roman"/>
          <w:b/>
          <w:bCs/>
          <w:sz w:val="28"/>
          <w:szCs w:val="28"/>
        </w:rPr>
        <w:t xml:space="preserve">edinte </w:t>
      </w:r>
      <w:r w:rsidR="00AA375F" w:rsidRPr="00DD6488">
        <w:rPr>
          <w:rFonts w:ascii="Times New Roman" w:hAnsi="Times New Roman"/>
          <w:b/>
          <w:bCs/>
          <w:sz w:val="28"/>
          <w:szCs w:val="28"/>
        </w:rPr>
        <w:t>Nicu</w:t>
      </w:r>
      <w:r w:rsidR="00142D11">
        <w:rPr>
          <w:rFonts w:ascii="Times New Roman" w:hAnsi="Times New Roman"/>
          <w:b/>
          <w:bCs/>
          <w:sz w:val="28"/>
          <w:szCs w:val="28"/>
        </w:rPr>
        <w:t>ș</w:t>
      </w:r>
      <w:r w:rsidR="00AA375F" w:rsidRPr="00DD6488">
        <w:rPr>
          <w:rFonts w:ascii="Times New Roman" w:hAnsi="Times New Roman"/>
          <w:b/>
          <w:bCs/>
          <w:sz w:val="28"/>
          <w:szCs w:val="28"/>
        </w:rPr>
        <w:t>or</w:t>
      </w:r>
      <w:r w:rsidRPr="00DD6488">
        <w:rPr>
          <w:rFonts w:ascii="Times New Roman" w:hAnsi="Times New Roman"/>
          <w:b/>
          <w:bCs/>
          <w:sz w:val="28"/>
          <w:szCs w:val="28"/>
        </w:rPr>
        <w:t xml:space="preserve"> </w:t>
      </w:r>
      <w:proofErr w:type="spellStart"/>
      <w:r w:rsidRPr="00DD6488">
        <w:rPr>
          <w:rFonts w:ascii="Times New Roman" w:hAnsi="Times New Roman"/>
          <w:b/>
          <w:bCs/>
          <w:sz w:val="28"/>
          <w:szCs w:val="28"/>
        </w:rPr>
        <w:t>Halici</w:t>
      </w:r>
      <w:proofErr w:type="spellEnd"/>
      <w:r w:rsidRPr="00DD6488">
        <w:rPr>
          <w:rFonts w:ascii="Times New Roman" w:hAnsi="Times New Roman"/>
          <w:b/>
          <w:bCs/>
          <w:sz w:val="28"/>
          <w:szCs w:val="28"/>
        </w:rPr>
        <w:t xml:space="preserve"> </w:t>
      </w:r>
    </w:p>
    <w:p w14:paraId="2F632B1D" w14:textId="4BEC4C79" w:rsidR="00424F0A" w:rsidRPr="00DD6488" w:rsidRDefault="00667F96" w:rsidP="00AA375F">
      <w:pPr>
        <w:spacing w:before="60" w:after="60" w:line="276" w:lineRule="auto"/>
        <w:jc w:val="both"/>
        <w:rPr>
          <w:rFonts w:ascii="Times New Roman" w:hAnsi="Times New Roman"/>
          <w:b/>
          <w:bCs/>
          <w:sz w:val="28"/>
          <w:szCs w:val="28"/>
        </w:rPr>
      </w:pPr>
      <w:hyperlink r:id="rId8" w:history="1">
        <w:r w:rsidR="00902169" w:rsidRPr="00DD6488">
          <w:rPr>
            <w:rStyle w:val="Hyperlink"/>
            <w:rFonts w:ascii="Times New Roman" w:hAnsi="Times New Roman"/>
            <w:b/>
            <w:bCs/>
            <w:sz w:val="28"/>
            <w:szCs w:val="28"/>
          </w:rPr>
          <w:t>cp11@cdep.ro</w:t>
        </w:r>
      </w:hyperlink>
    </w:p>
    <w:p w14:paraId="60E21F43" w14:textId="77777777" w:rsidR="00902169" w:rsidRPr="00DD6488" w:rsidRDefault="00902169" w:rsidP="00AA375F">
      <w:pPr>
        <w:spacing w:before="60" w:after="60" w:line="276" w:lineRule="auto"/>
        <w:jc w:val="both"/>
        <w:rPr>
          <w:rFonts w:ascii="Times New Roman" w:hAnsi="Times New Roman"/>
          <w:sz w:val="28"/>
          <w:szCs w:val="28"/>
        </w:rPr>
      </w:pPr>
    </w:p>
    <w:p w14:paraId="0A79C3BE" w14:textId="12B255B9" w:rsidR="00424F0A" w:rsidRPr="00DD6488" w:rsidRDefault="00424F0A" w:rsidP="00AA375F">
      <w:pPr>
        <w:spacing w:before="60" w:after="60" w:line="276" w:lineRule="auto"/>
        <w:jc w:val="both"/>
        <w:rPr>
          <w:rFonts w:ascii="Times New Roman" w:hAnsi="Times New Roman"/>
          <w:b/>
          <w:bCs/>
          <w:sz w:val="28"/>
          <w:szCs w:val="28"/>
        </w:rPr>
      </w:pPr>
      <w:r w:rsidRPr="00DD6488">
        <w:rPr>
          <w:rFonts w:ascii="Times New Roman" w:hAnsi="Times New Roman"/>
          <w:b/>
          <w:bCs/>
          <w:sz w:val="28"/>
          <w:szCs w:val="28"/>
        </w:rPr>
        <w:t>Stimate domnule Pre</w:t>
      </w:r>
      <w:r w:rsidR="00142D11">
        <w:rPr>
          <w:rFonts w:ascii="Times New Roman" w:hAnsi="Times New Roman"/>
          <w:b/>
          <w:bCs/>
          <w:sz w:val="28"/>
          <w:szCs w:val="28"/>
        </w:rPr>
        <w:t>ș</w:t>
      </w:r>
      <w:r w:rsidRPr="00DD6488">
        <w:rPr>
          <w:rFonts w:ascii="Times New Roman" w:hAnsi="Times New Roman"/>
          <w:b/>
          <w:bCs/>
          <w:sz w:val="28"/>
          <w:szCs w:val="28"/>
        </w:rPr>
        <w:t>edinte,</w:t>
      </w:r>
    </w:p>
    <w:p w14:paraId="7C56F915" w14:textId="77777777" w:rsidR="00424F0A" w:rsidRPr="00DD6488" w:rsidRDefault="00424F0A" w:rsidP="00AA375F">
      <w:pPr>
        <w:spacing w:before="60" w:after="60" w:line="276" w:lineRule="auto"/>
        <w:jc w:val="both"/>
        <w:rPr>
          <w:rFonts w:ascii="Times New Roman" w:hAnsi="Times New Roman"/>
          <w:sz w:val="26"/>
          <w:szCs w:val="26"/>
        </w:rPr>
      </w:pPr>
    </w:p>
    <w:p w14:paraId="2F9E8926" w14:textId="120B2601" w:rsidR="00424F0A" w:rsidRPr="00DD6488" w:rsidRDefault="00424F0A" w:rsidP="00AA375F">
      <w:pPr>
        <w:widowControl w:val="0"/>
        <w:spacing w:before="60" w:after="60" w:line="276" w:lineRule="auto"/>
        <w:ind w:firstLine="705"/>
        <w:jc w:val="both"/>
        <w:rPr>
          <w:rFonts w:ascii="Times New Roman" w:hAnsi="Times New Roman"/>
          <w:b/>
          <w:bCs/>
        </w:rPr>
      </w:pPr>
      <w:r w:rsidRPr="00DD6488">
        <w:rPr>
          <w:rFonts w:ascii="Times New Roman" w:hAnsi="Times New Roman"/>
        </w:rPr>
        <w:t>Uniunea Na</w:t>
      </w:r>
      <w:r w:rsidR="00142D11">
        <w:rPr>
          <w:rFonts w:ascii="Times New Roman" w:hAnsi="Times New Roman"/>
        </w:rPr>
        <w:t>ț</w:t>
      </w:r>
      <w:r w:rsidRPr="00DD6488">
        <w:rPr>
          <w:rFonts w:ascii="Times New Roman" w:hAnsi="Times New Roman"/>
        </w:rPr>
        <w:t>ională a Barourilor din România, cu sediul în Mun. Bucure</w:t>
      </w:r>
      <w:r w:rsidR="00142D11">
        <w:rPr>
          <w:rFonts w:ascii="Times New Roman" w:hAnsi="Times New Roman"/>
        </w:rPr>
        <w:t>ș</w:t>
      </w:r>
      <w:r w:rsidRPr="00DD6488">
        <w:rPr>
          <w:rFonts w:ascii="Times New Roman" w:hAnsi="Times New Roman"/>
        </w:rPr>
        <w:t xml:space="preserve">ti, Palatul de </w:t>
      </w:r>
      <w:r w:rsidR="00472F22" w:rsidRPr="00DD6488">
        <w:rPr>
          <w:rFonts w:ascii="Times New Roman" w:hAnsi="Times New Roman"/>
        </w:rPr>
        <w:t>Justi</w:t>
      </w:r>
      <w:r w:rsidR="00142D11">
        <w:rPr>
          <w:rFonts w:ascii="Times New Roman" w:hAnsi="Times New Roman"/>
        </w:rPr>
        <w:t>ț</w:t>
      </w:r>
      <w:r w:rsidR="00472F22" w:rsidRPr="00DD6488">
        <w:rPr>
          <w:rFonts w:ascii="Times New Roman" w:hAnsi="Times New Roman"/>
        </w:rPr>
        <w:t>ie</w:t>
      </w:r>
      <w:r w:rsidRPr="00DD6488">
        <w:rPr>
          <w:rFonts w:ascii="Times New Roman" w:hAnsi="Times New Roman"/>
        </w:rPr>
        <w:t>, Splaiul Independen</w:t>
      </w:r>
      <w:r w:rsidR="00142D11">
        <w:rPr>
          <w:rFonts w:ascii="Times New Roman" w:hAnsi="Times New Roman"/>
        </w:rPr>
        <w:t>ț</w:t>
      </w:r>
      <w:r w:rsidRPr="00DD6488">
        <w:rPr>
          <w:rFonts w:ascii="Times New Roman" w:hAnsi="Times New Roman"/>
        </w:rPr>
        <w:t>ei nr. 5, sector 5, cod fiscal: RO4315974, înfiin</w:t>
      </w:r>
      <w:r w:rsidR="00142D11">
        <w:rPr>
          <w:rFonts w:ascii="Times New Roman" w:hAnsi="Times New Roman"/>
        </w:rPr>
        <w:t>ț</w:t>
      </w:r>
      <w:r w:rsidRPr="00DD6488">
        <w:rPr>
          <w:rFonts w:ascii="Times New Roman" w:hAnsi="Times New Roman"/>
        </w:rPr>
        <w:t xml:space="preserve">ată prin Legea nr. 51/1995 pentru organizarea </w:t>
      </w:r>
      <w:r w:rsidR="00142D11">
        <w:rPr>
          <w:rFonts w:ascii="Times New Roman" w:hAnsi="Times New Roman"/>
        </w:rPr>
        <w:t>ș</w:t>
      </w:r>
      <w:r w:rsidRPr="00DD6488">
        <w:rPr>
          <w:rFonts w:ascii="Times New Roman" w:hAnsi="Times New Roman"/>
        </w:rPr>
        <w:t xml:space="preserve">i exercitarea profesiei de avocat, republicată, cu modificările </w:t>
      </w:r>
      <w:r w:rsidR="00142D11">
        <w:rPr>
          <w:rFonts w:ascii="Times New Roman" w:hAnsi="Times New Roman"/>
        </w:rPr>
        <w:t>ș</w:t>
      </w:r>
      <w:r w:rsidRPr="00DD6488">
        <w:rPr>
          <w:rFonts w:ascii="Times New Roman" w:hAnsi="Times New Roman"/>
        </w:rPr>
        <w:t>i completările ulterioare</w:t>
      </w:r>
      <w:r w:rsidR="00C574C9" w:rsidRPr="00DD6488">
        <w:rPr>
          <w:rFonts w:ascii="Times New Roman" w:hAnsi="Times New Roman"/>
        </w:rPr>
        <w:t>, persoană juridică de inter</w:t>
      </w:r>
      <w:r w:rsidR="004D3173" w:rsidRPr="00DD6488">
        <w:rPr>
          <w:rFonts w:ascii="Times New Roman" w:hAnsi="Times New Roman"/>
        </w:rPr>
        <w:t>e</w:t>
      </w:r>
      <w:r w:rsidR="00C574C9" w:rsidRPr="00DD6488">
        <w:rPr>
          <w:rFonts w:ascii="Times New Roman" w:hAnsi="Times New Roman"/>
        </w:rPr>
        <w:t xml:space="preserve">s public (art. 59 alin. 2), </w:t>
      </w:r>
      <w:r w:rsidRPr="00DD6488">
        <w:rPr>
          <w:rFonts w:ascii="Times New Roman" w:hAnsi="Times New Roman"/>
        </w:rPr>
        <w:t xml:space="preserve">vă remite următorul </w:t>
      </w:r>
      <w:r w:rsidRPr="00DD6488">
        <w:rPr>
          <w:rFonts w:ascii="Times New Roman" w:hAnsi="Times New Roman"/>
          <w:b/>
          <w:bCs/>
        </w:rPr>
        <w:t xml:space="preserve">punct de vedere privind </w:t>
      </w:r>
      <w:r w:rsidR="00885553" w:rsidRPr="00DD6488">
        <w:rPr>
          <w:rFonts w:ascii="Times New Roman" w:hAnsi="Times New Roman"/>
          <w:b/>
          <w:bCs/>
        </w:rPr>
        <w:t>Proiectul de Lege</w:t>
      </w:r>
      <w:r w:rsidR="00472F22" w:rsidRPr="00DD6488">
        <w:rPr>
          <w:rFonts w:ascii="Times New Roman" w:hAnsi="Times New Roman"/>
          <w:b/>
          <w:bCs/>
        </w:rPr>
        <w:t xml:space="preserve"> pentru completarea Legii nr.304/2004 privind organizarea judiciară </w:t>
      </w:r>
      <w:r w:rsidR="00142D11">
        <w:rPr>
          <w:rFonts w:ascii="Times New Roman" w:hAnsi="Times New Roman"/>
          <w:b/>
          <w:bCs/>
        </w:rPr>
        <w:t>ș</w:t>
      </w:r>
      <w:r w:rsidR="00472F22" w:rsidRPr="00DD6488">
        <w:rPr>
          <w:rFonts w:ascii="Times New Roman" w:hAnsi="Times New Roman"/>
          <w:b/>
          <w:bCs/>
        </w:rPr>
        <w:t>i a Legii nr.134/2010 privind Codul de procedură civilă (</w:t>
      </w:r>
      <w:proofErr w:type="spellStart"/>
      <w:r w:rsidR="00472F22" w:rsidRPr="00DD6488">
        <w:rPr>
          <w:rFonts w:ascii="Times New Roman" w:hAnsi="Times New Roman"/>
          <w:b/>
          <w:bCs/>
        </w:rPr>
        <w:t>PLx</w:t>
      </w:r>
      <w:proofErr w:type="spellEnd"/>
      <w:r w:rsidR="00472F22" w:rsidRPr="00DD6488">
        <w:rPr>
          <w:rFonts w:ascii="Times New Roman" w:hAnsi="Times New Roman"/>
          <w:b/>
          <w:bCs/>
        </w:rPr>
        <w:t>. 676/2020)</w:t>
      </w:r>
      <w:r w:rsidR="00AA375F" w:rsidRPr="00DD6488">
        <w:rPr>
          <w:rFonts w:ascii="Times New Roman" w:hAnsi="Times New Roman"/>
          <w:b/>
          <w:bCs/>
        </w:rPr>
        <w:t>.</w:t>
      </w:r>
    </w:p>
    <w:p w14:paraId="0926BD07" w14:textId="1A800AE1" w:rsidR="00AA375F" w:rsidRPr="00DD6488" w:rsidRDefault="00AA375F" w:rsidP="00AA375F">
      <w:pPr>
        <w:spacing w:line="276" w:lineRule="auto"/>
        <w:ind w:firstLine="705"/>
        <w:jc w:val="both"/>
        <w:rPr>
          <w:rFonts w:ascii="Times New Roman" w:hAnsi="Times New Roman"/>
        </w:rPr>
      </w:pPr>
      <w:r w:rsidRPr="00DD6488">
        <w:rPr>
          <w:rFonts w:ascii="Times New Roman" w:hAnsi="Times New Roman"/>
        </w:rPr>
        <w:t>La data de 16.11.2020 a fost prezentată în Biroul permanent al Camerei Deputa</w:t>
      </w:r>
      <w:r w:rsidR="00142D11">
        <w:rPr>
          <w:rFonts w:ascii="Times New Roman" w:hAnsi="Times New Roman"/>
        </w:rPr>
        <w:t>ț</w:t>
      </w:r>
      <w:r w:rsidRPr="00DD6488">
        <w:rPr>
          <w:rFonts w:ascii="Times New Roman" w:hAnsi="Times New Roman"/>
        </w:rPr>
        <w:t xml:space="preserve">ilor propunerea legislativă pentru completarea Legii nr.304/2004 privind organizarea judiciară </w:t>
      </w:r>
      <w:r w:rsidR="00142D11">
        <w:rPr>
          <w:rFonts w:ascii="Times New Roman" w:hAnsi="Times New Roman"/>
        </w:rPr>
        <w:t>ș</w:t>
      </w:r>
      <w:r w:rsidRPr="00DD6488">
        <w:rPr>
          <w:rFonts w:ascii="Times New Roman" w:hAnsi="Times New Roman"/>
        </w:rPr>
        <w:t xml:space="preserve">i a Legii nr.134/2010 privind Codul de procedură civilă, respectiv  </w:t>
      </w:r>
      <w:proofErr w:type="spellStart"/>
      <w:r w:rsidRPr="00DD6488">
        <w:rPr>
          <w:rFonts w:ascii="Times New Roman" w:hAnsi="Times New Roman"/>
        </w:rPr>
        <w:t>PLx</w:t>
      </w:r>
      <w:proofErr w:type="spellEnd"/>
      <w:r w:rsidRPr="00DD6488">
        <w:rPr>
          <w:rFonts w:ascii="Times New Roman" w:hAnsi="Times New Roman"/>
        </w:rPr>
        <w:t>. 676/2020.</w:t>
      </w:r>
    </w:p>
    <w:p w14:paraId="2E2E74C9" w14:textId="2BCBFC7F" w:rsidR="00AA375F" w:rsidRPr="00DD6488" w:rsidRDefault="00AA375F" w:rsidP="00AA375F">
      <w:pPr>
        <w:spacing w:line="276" w:lineRule="auto"/>
        <w:jc w:val="both"/>
        <w:rPr>
          <w:rFonts w:ascii="Times New Roman" w:hAnsi="Times New Roman"/>
        </w:rPr>
      </w:pPr>
      <w:r w:rsidRPr="00DD6488">
        <w:rPr>
          <w:rFonts w:ascii="Times New Roman" w:hAnsi="Times New Roman"/>
        </w:rPr>
        <w:tab/>
        <w:t>Proiectul legislativ a fost fundamentat pe o serie de motive care, în opinia ini</w:t>
      </w:r>
      <w:r w:rsidR="00142D11">
        <w:rPr>
          <w:rFonts w:ascii="Times New Roman" w:hAnsi="Times New Roman"/>
        </w:rPr>
        <w:t>ț</w:t>
      </w:r>
      <w:r w:rsidRPr="00DD6488">
        <w:rPr>
          <w:rFonts w:ascii="Times New Roman" w:hAnsi="Times New Roman"/>
        </w:rPr>
        <w:t>iatorului,  au rezultat din activitatea instan</w:t>
      </w:r>
      <w:r w:rsidR="00142D11">
        <w:rPr>
          <w:rFonts w:ascii="Times New Roman" w:hAnsi="Times New Roman"/>
        </w:rPr>
        <w:t>ț</w:t>
      </w:r>
      <w:r w:rsidRPr="00DD6488">
        <w:rPr>
          <w:rFonts w:ascii="Times New Roman" w:hAnsi="Times New Roman"/>
        </w:rPr>
        <w:t xml:space="preserve">elor de judecată </w:t>
      </w:r>
      <w:r w:rsidR="00142D11">
        <w:rPr>
          <w:rFonts w:ascii="Times New Roman" w:hAnsi="Times New Roman"/>
        </w:rPr>
        <w:t>ș</w:t>
      </w:r>
      <w:r w:rsidRPr="00DD6488">
        <w:rPr>
          <w:rFonts w:ascii="Times New Roman" w:hAnsi="Times New Roman"/>
        </w:rPr>
        <w:t xml:space="preserve">i au împăcat negativ procedura judiciară. Astfel, au fost avute în vedere următoarele motive care au justificat propunerea legislativă concretizată în </w:t>
      </w:r>
      <w:proofErr w:type="spellStart"/>
      <w:r w:rsidRPr="00DD6488">
        <w:rPr>
          <w:rFonts w:ascii="Times New Roman" w:hAnsi="Times New Roman"/>
        </w:rPr>
        <w:t>PLx</w:t>
      </w:r>
      <w:proofErr w:type="spellEnd"/>
      <w:r w:rsidRPr="00DD6488">
        <w:rPr>
          <w:rFonts w:ascii="Times New Roman" w:hAnsi="Times New Roman"/>
        </w:rPr>
        <w:t>. 676/2020:</w:t>
      </w:r>
    </w:p>
    <w:p w14:paraId="4743022F" w14:textId="5AA12620" w:rsidR="00AA375F" w:rsidRPr="00DD6488" w:rsidRDefault="00AA375F" w:rsidP="00765D3E">
      <w:pPr>
        <w:spacing w:line="276" w:lineRule="auto"/>
        <w:ind w:left="708"/>
        <w:jc w:val="both"/>
        <w:rPr>
          <w:rFonts w:ascii="Times New Roman" w:hAnsi="Times New Roman"/>
        </w:rPr>
      </w:pPr>
      <w:r w:rsidRPr="00DD6488">
        <w:rPr>
          <w:rFonts w:ascii="Times New Roman" w:hAnsi="Times New Roman"/>
        </w:rPr>
        <w:t xml:space="preserve">-volumul semnificativ de cereri </w:t>
      </w:r>
      <w:r w:rsidR="00142D11">
        <w:rPr>
          <w:rFonts w:ascii="Times New Roman" w:hAnsi="Times New Roman"/>
        </w:rPr>
        <w:t>ș</w:t>
      </w:r>
      <w:r w:rsidRPr="00DD6488">
        <w:rPr>
          <w:rFonts w:ascii="Times New Roman" w:hAnsi="Times New Roman"/>
        </w:rPr>
        <w:t xml:space="preserve">i căi de atac informe </w:t>
      </w:r>
      <w:r w:rsidR="00142D11">
        <w:rPr>
          <w:rFonts w:ascii="Times New Roman" w:hAnsi="Times New Roman"/>
        </w:rPr>
        <w:t>ș</w:t>
      </w:r>
      <w:r w:rsidRPr="00DD6488">
        <w:rPr>
          <w:rFonts w:ascii="Times New Roman" w:hAnsi="Times New Roman"/>
        </w:rPr>
        <w:t>i neinteligibile, cereri cărora nu li se poate identifica natura sau scopul urmărit prin demersul judiciar respectiv;</w:t>
      </w:r>
    </w:p>
    <w:p w14:paraId="70B7A3A2" w14:textId="0C6B4EEA" w:rsidR="00AA375F" w:rsidRPr="00DD6488" w:rsidRDefault="00AA375F" w:rsidP="00765D3E">
      <w:pPr>
        <w:spacing w:line="276" w:lineRule="auto"/>
        <w:ind w:left="708"/>
        <w:jc w:val="both"/>
        <w:rPr>
          <w:rFonts w:ascii="Times New Roman" w:hAnsi="Times New Roman"/>
        </w:rPr>
      </w:pPr>
      <w:r w:rsidRPr="00DD6488">
        <w:rPr>
          <w:rFonts w:ascii="Times New Roman" w:hAnsi="Times New Roman"/>
        </w:rPr>
        <w:t>-existen</w:t>
      </w:r>
      <w:r w:rsidR="00142D11">
        <w:rPr>
          <w:rFonts w:ascii="Times New Roman" w:hAnsi="Times New Roman"/>
        </w:rPr>
        <w:t>ț</w:t>
      </w:r>
      <w:r w:rsidRPr="00DD6488">
        <w:rPr>
          <w:rFonts w:ascii="Times New Roman" w:hAnsi="Times New Roman"/>
        </w:rPr>
        <w:t>a unor cereri vădit inadmisibile care nu se circumscriu competen</w:t>
      </w:r>
      <w:r w:rsidR="00142D11">
        <w:rPr>
          <w:rFonts w:ascii="Times New Roman" w:hAnsi="Times New Roman"/>
        </w:rPr>
        <w:t>ț</w:t>
      </w:r>
      <w:r w:rsidRPr="00DD6488">
        <w:rPr>
          <w:rFonts w:ascii="Times New Roman" w:hAnsi="Times New Roman"/>
        </w:rPr>
        <w:t>ei instan</w:t>
      </w:r>
      <w:r w:rsidR="00142D11">
        <w:rPr>
          <w:rFonts w:ascii="Times New Roman" w:hAnsi="Times New Roman"/>
        </w:rPr>
        <w:t>ț</w:t>
      </w:r>
      <w:r w:rsidRPr="00DD6488">
        <w:rPr>
          <w:rFonts w:ascii="Times New Roman" w:hAnsi="Times New Roman"/>
        </w:rPr>
        <w:t>ei;</w:t>
      </w:r>
    </w:p>
    <w:p w14:paraId="500D6088" w14:textId="0F0CBAB1" w:rsidR="00AA375F" w:rsidRPr="00DD6488" w:rsidRDefault="00AA375F" w:rsidP="00765D3E">
      <w:pPr>
        <w:spacing w:line="276" w:lineRule="auto"/>
        <w:ind w:left="708"/>
        <w:jc w:val="both"/>
        <w:rPr>
          <w:rFonts w:ascii="Times New Roman" w:hAnsi="Times New Roman"/>
        </w:rPr>
      </w:pPr>
      <w:r w:rsidRPr="00DD6488">
        <w:rPr>
          <w:rFonts w:ascii="Times New Roman" w:hAnsi="Times New Roman"/>
        </w:rPr>
        <w:t>-existen</w:t>
      </w:r>
      <w:r w:rsidR="00142D11">
        <w:rPr>
          <w:rFonts w:ascii="Times New Roman" w:hAnsi="Times New Roman"/>
        </w:rPr>
        <w:t>ț</w:t>
      </w:r>
      <w:r w:rsidRPr="00DD6488">
        <w:rPr>
          <w:rFonts w:ascii="Times New Roman" w:hAnsi="Times New Roman"/>
        </w:rPr>
        <w:t xml:space="preserve">a unor cereri identice ce au fost examinate anterior </w:t>
      </w:r>
      <w:r w:rsidR="00142D11">
        <w:rPr>
          <w:rFonts w:ascii="Times New Roman" w:hAnsi="Times New Roman"/>
        </w:rPr>
        <w:t>ș</w:t>
      </w:r>
      <w:r w:rsidRPr="00DD6488">
        <w:rPr>
          <w:rFonts w:ascii="Times New Roman" w:hAnsi="Times New Roman"/>
        </w:rPr>
        <w:t>i care nu con</w:t>
      </w:r>
      <w:r w:rsidR="00142D11">
        <w:rPr>
          <w:rFonts w:ascii="Times New Roman" w:hAnsi="Times New Roman"/>
        </w:rPr>
        <w:t>ț</w:t>
      </w:r>
      <w:r w:rsidRPr="00DD6488">
        <w:rPr>
          <w:rFonts w:ascii="Times New Roman" w:hAnsi="Times New Roman"/>
        </w:rPr>
        <w:t>in nici un element de noutate;</w:t>
      </w:r>
    </w:p>
    <w:p w14:paraId="2C3D23CA" w14:textId="344769E4" w:rsidR="00AA375F" w:rsidRPr="00DD6488" w:rsidRDefault="00AA375F" w:rsidP="00765D3E">
      <w:pPr>
        <w:spacing w:line="276" w:lineRule="auto"/>
        <w:ind w:left="708"/>
        <w:jc w:val="both"/>
        <w:rPr>
          <w:rFonts w:ascii="Times New Roman" w:hAnsi="Times New Roman"/>
        </w:rPr>
      </w:pPr>
      <w:r w:rsidRPr="00DD6488">
        <w:rPr>
          <w:rFonts w:ascii="Times New Roman" w:hAnsi="Times New Roman"/>
        </w:rPr>
        <w:t>-angrenarea întregii proceduri judiciare pentru cererile mai sus-men</w:t>
      </w:r>
      <w:r w:rsidR="00142D11">
        <w:rPr>
          <w:rFonts w:ascii="Times New Roman" w:hAnsi="Times New Roman"/>
        </w:rPr>
        <w:t>ț</w:t>
      </w:r>
      <w:r w:rsidRPr="00DD6488">
        <w:rPr>
          <w:rFonts w:ascii="Times New Roman" w:hAnsi="Times New Roman"/>
        </w:rPr>
        <w:t>ionate, cu impact în planul timpului alocat unor asemenea demersuri, cu consecin</w:t>
      </w:r>
      <w:r w:rsidR="00142D11">
        <w:rPr>
          <w:rFonts w:ascii="Times New Roman" w:hAnsi="Times New Roman"/>
        </w:rPr>
        <w:t>ț</w:t>
      </w:r>
      <w:r w:rsidRPr="00DD6488">
        <w:rPr>
          <w:rFonts w:ascii="Times New Roman" w:hAnsi="Times New Roman"/>
        </w:rPr>
        <w:t>a generării unor costuri bugetare însemnate;</w:t>
      </w:r>
    </w:p>
    <w:p w14:paraId="4092C2D1" w14:textId="49CB44F6" w:rsidR="00AA375F" w:rsidRPr="00DD6488" w:rsidRDefault="00AA375F" w:rsidP="00765D3E">
      <w:pPr>
        <w:spacing w:line="276" w:lineRule="auto"/>
        <w:ind w:left="708"/>
        <w:jc w:val="both"/>
        <w:rPr>
          <w:rFonts w:ascii="Times New Roman" w:hAnsi="Times New Roman"/>
        </w:rPr>
      </w:pPr>
      <w:r w:rsidRPr="00DD6488">
        <w:rPr>
          <w:rFonts w:ascii="Times New Roman" w:hAnsi="Times New Roman"/>
        </w:rPr>
        <w:t>-o încărcare excesivă a instan</w:t>
      </w:r>
      <w:r w:rsidR="00142D11">
        <w:rPr>
          <w:rFonts w:ascii="Times New Roman" w:hAnsi="Times New Roman"/>
        </w:rPr>
        <w:t>ț</w:t>
      </w:r>
      <w:r w:rsidRPr="00DD6488">
        <w:rPr>
          <w:rFonts w:ascii="Times New Roman" w:hAnsi="Times New Roman"/>
        </w:rPr>
        <w:t>elor cu aceste cereri informe sau neinteligibile, cu impact în planul solu</w:t>
      </w:r>
      <w:r w:rsidR="00142D11">
        <w:rPr>
          <w:rFonts w:ascii="Times New Roman" w:hAnsi="Times New Roman"/>
        </w:rPr>
        <w:t>ț</w:t>
      </w:r>
      <w:r w:rsidRPr="00DD6488">
        <w:rPr>
          <w:rFonts w:ascii="Times New Roman" w:hAnsi="Times New Roman"/>
        </w:rPr>
        <w:t xml:space="preserve">ionării proceselor într-un termen optim </w:t>
      </w:r>
      <w:r w:rsidR="00142D11">
        <w:rPr>
          <w:rFonts w:ascii="Times New Roman" w:hAnsi="Times New Roman"/>
        </w:rPr>
        <w:t>ș</w:t>
      </w:r>
      <w:r w:rsidRPr="00DD6488">
        <w:rPr>
          <w:rFonts w:ascii="Times New Roman" w:hAnsi="Times New Roman"/>
        </w:rPr>
        <w:t>i previzibil.</w:t>
      </w:r>
    </w:p>
    <w:p w14:paraId="59489BE0" w14:textId="2077A4FD" w:rsidR="00AA375F" w:rsidRPr="00DD6488" w:rsidRDefault="00AA375F" w:rsidP="00AA375F">
      <w:pPr>
        <w:spacing w:line="276" w:lineRule="auto"/>
        <w:jc w:val="both"/>
        <w:rPr>
          <w:rFonts w:ascii="Times New Roman" w:hAnsi="Times New Roman"/>
          <w:b/>
          <w:bCs/>
        </w:rPr>
      </w:pPr>
      <w:r w:rsidRPr="00DD6488">
        <w:rPr>
          <w:rFonts w:ascii="Times New Roman" w:hAnsi="Times New Roman"/>
        </w:rPr>
        <w:lastRenderedPageBreak/>
        <w:tab/>
        <w:t xml:space="preserve">Este evident că aspectele inserate în expunerea de motive a propunerii legislative analizate sunt reale, impactul acestora fiind considerabil atât la nivelul </w:t>
      </w:r>
      <w:r w:rsidR="00840B29" w:rsidRPr="00DD6488">
        <w:rPr>
          <w:rFonts w:ascii="Times New Roman" w:hAnsi="Times New Roman"/>
        </w:rPr>
        <w:t>celerită</w:t>
      </w:r>
      <w:r w:rsidR="00142D11">
        <w:rPr>
          <w:rFonts w:ascii="Times New Roman" w:hAnsi="Times New Roman"/>
        </w:rPr>
        <w:t>ț</w:t>
      </w:r>
      <w:r w:rsidR="00840B29" w:rsidRPr="00DD6488">
        <w:rPr>
          <w:rFonts w:ascii="Times New Roman" w:hAnsi="Times New Roman"/>
        </w:rPr>
        <w:t>ii</w:t>
      </w:r>
      <w:r w:rsidRPr="00DD6488">
        <w:rPr>
          <w:rFonts w:ascii="Times New Roman" w:hAnsi="Times New Roman"/>
        </w:rPr>
        <w:t xml:space="preserve"> procedurii judiciare, cât </w:t>
      </w:r>
      <w:r w:rsidR="00142D11">
        <w:rPr>
          <w:rFonts w:ascii="Times New Roman" w:hAnsi="Times New Roman"/>
        </w:rPr>
        <w:t>ș</w:t>
      </w:r>
      <w:r w:rsidRPr="00DD6488">
        <w:rPr>
          <w:rFonts w:ascii="Times New Roman" w:hAnsi="Times New Roman"/>
        </w:rPr>
        <w:t xml:space="preserve">i cu privire la augmentarea cheltuielilor bugetare aferente unor asemenea </w:t>
      </w:r>
      <w:r w:rsidR="00840B29" w:rsidRPr="00DD6488">
        <w:rPr>
          <w:rFonts w:ascii="Times New Roman" w:hAnsi="Times New Roman"/>
        </w:rPr>
        <w:t>situa</w:t>
      </w:r>
      <w:r w:rsidR="00142D11">
        <w:rPr>
          <w:rFonts w:ascii="Times New Roman" w:hAnsi="Times New Roman"/>
        </w:rPr>
        <w:t>ț</w:t>
      </w:r>
      <w:r w:rsidR="00840B29" w:rsidRPr="00DD6488">
        <w:rPr>
          <w:rFonts w:ascii="Times New Roman" w:hAnsi="Times New Roman"/>
        </w:rPr>
        <w:t>ii</w:t>
      </w:r>
      <w:r w:rsidRPr="00DD6488">
        <w:rPr>
          <w:rFonts w:ascii="Times New Roman" w:hAnsi="Times New Roman"/>
        </w:rPr>
        <w:t xml:space="preserve">. De asemenea, este oportun a se căuta mecanisme </w:t>
      </w:r>
      <w:r w:rsidR="00142D11">
        <w:rPr>
          <w:rFonts w:ascii="Times New Roman" w:hAnsi="Times New Roman"/>
        </w:rPr>
        <w:t>ș</w:t>
      </w:r>
      <w:r w:rsidRPr="00DD6488">
        <w:rPr>
          <w:rFonts w:ascii="Times New Roman" w:hAnsi="Times New Roman"/>
        </w:rPr>
        <w:t xml:space="preserve">i proceduri legale pentru diminuarea </w:t>
      </w:r>
      <w:r w:rsidR="00840B29" w:rsidRPr="00DD6488">
        <w:rPr>
          <w:rFonts w:ascii="Times New Roman" w:hAnsi="Times New Roman"/>
        </w:rPr>
        <w:t>consecin</w:t>
      </w:r>
      <w:r w:rsidR="00142D11">
        <w:rPr>
          <w:rFonts w:ascii="Times New Roman" w:hAnsi="Times New Roman"/>
        </w:rPr>
        <w:t>ț</w:t>
      </w:r>
      <w:r w:rsidR="00840B29" w:rsidRPr="00DD6488">
        <w:rPr>
          <w:rFonts w:ascii="Times New Roman" w:hAnsi="Times New Roman"/>
        </w:rPr>
        <w:t>elor</w:t>
      </w:r>
      <w:r w:rsidRPr="00DD6488">
        <w:rPr>
          <w:rFonts w:ascii="Times New Roman" w:hAnsi="Times New Roman"/>
        </w:rPr>
        <w:t xml:space="preserve"> unor asemenea cereri informe sau neinteligibile. Pe de altă parte însă, orice proiect legislativ în această materie ce urmează a deveni lege </w:t>
      </w:r>
      <w:r w:rsidRPr="00DD6488">
        <w:rPr>
          <w:rFonts w:ascii="Times New Roman" w:hAnsi="Times New Roman"/>
          <w:b/>
          <w:bCs/>
        </w:rPr>
        <w:t xml:space="preserve">este necesar a fi, pe de o parte, </w:t>
      </w:r>
      <w:r w:rsidR="000D315C" w:rsidRPr="00DD6488">
        <w:rPr>
          <w:rFonts w:ascii="Times New Roman" w:hAnsi="Times New Roman"/>
          <w:b/>
          <w:bCs/>
        </w:rPr>
        <w:t>constitu</w:t>
      </w:r>
      <w:r w:rsidR="00142D11">
        <w:rPr>
          <w:rFonts w:ascii="Times New Roman" w:hAnsi="Times New Roman"/>
          <w:b/>
          <w:bCs/>
        </w:rPr>
        <w:t>ț</w:t>
      </w:r>
      <w:r w:rsidR="000D315C" w:rsidRPr="00DD6488">
        <w:rPr>
          <w:rFonts w:ascii="Times New Roman" w:hAnsi="Times New Roman"/>
          <w:b/>
          <w:bCs/>
        </w:rPr>
        <w:t>ional</w:t>
      </w:r>
      <w:r w:rsidRPr="00DD6488">
        <w:rPr>
          <w:rFonts w:ascii="Times New Roman" w:hAnsi="Times New Roman"/>
        </w:rPr>
        <w:t xml:space="preserve"> </w:t>
      </w:r>
      <w:r w:rsidR="00142D11">
        <w:rPr>
          <w:rFonts w:ascii="Times New Roman" w:hAnsi="Times New Roman"/>
        </w:rPr>
        <w:t>ș</w:t>
      </w:r>
      <w:r w:rsidRPr="00DD6488">
        <w:rPr>
          <w:rFonts w:ascii="Times New Roman" w:hAnsi="Times New Roman"/>
        </w:rPr>
        <w:t xml:space="preserve">i, pe de altă parte, </w:t>
      </w:r>
      <w:r w:rsidRPr="00DD6488">
        <w:rPr>
          <w:rFonts w:ascii="Times New Roman" w:hAnsi="Times New Roman"/>
          <w:b/>
          <w:bCs/>
        </w:rPr>
        <w:t xml:space="preserve">apt să aducă un plus din perspectiva dreptului la apărare </w:t>
      </w:r>
      <w:r w:rsidR="00142D11">
        <w:rPr>
          <w:rFonts w:ascii="Times New Roman" w:hAnsi="Times New Roman"/>
          <w:b/>
          <w:bCs/>
        </w:rPr>
        <w:t>ș</w:t>
      </w:r>
      <w:r w:rsidRPr="00DD6488">
        <w:rPr>
          <w:rFonts w:ascii="Times New Roman" w:hAnsi="Times New Roman"/>
          <w:b/>
          <w:bCs/>
        </w:rPr>
        <w:t xml:space="preserve">i a </w:t>
      </w:r>
      <w:r w:rsidR="000D315C" w:rsidRPr="00DD6488">
        <w:rPr>
          <w:rFonts w:ascii="Times New Roman" w:hAnsi="Times New Roman"/>
          <w:b/>
          <w:bCs/>
        </w:rPr>
        <w:t>garan</w:t>
      </w:r>
      <w:r w:rsidR="00142D11">
        <w:rPr>
          <w:rFonts w:ascii="Times New Roman" w:hAnsi="Times New Roman"/>
          <w:b/>
          <w:bCs/>
        </w:rPr>
        <w:t>ț</w:t>
      </w:r>
      <w:r w:rsidR="000D315C" w:rsidRPr="00DD6488">
        <w:rPr>
          <w:rFonts w:ascii="Times New Roman" w:hAnsi="Times New Roman"/>
          <w:b/>
          <w:bCs/>
        </w:rPr>
        <w:t>iilor</w:t>
      </w:r>
      <w:r w:rsidRPr="00DD6488">
        <w:rPr>
          <w:rFonts w:ascii="Times New Roman" w:hAnsi="Times New Roman"/>
          <w:b/>
          <w:bCs/>
        </w:rPr>
        <w:t xml:space="preserve"> procesuale.</w:t>
      </w:r>
    </w:p>
    <w:p w14:paraId="5190B2F2" w14:textId="2F06E6AC" w:rsidR="00AA375F" w:rsidRPr="00DD6488" w:rsidRDefault="00AA375F" w:rsidP="00AA375F">
      <w:pPr>
        <w:spacing w:line="276" w:lineRule="auto"/>
        <w:jc w:val="both"/>
        <w:rPr>
          <w:rFonts w:ascii="Times New Roman" w:hAnsi="Times New Roman"/>
        </w:rPr>
      </w:pPr>
      <w:r w:rsidRPr="00DD6488">
        <w:rPr>
          <w:rFonts w:ascii="Times New Roman" w:hAnsi="Times New Roman"/>
          <w:b/>
          <w:bCs/>
        </w:rPr>
        <w:tab/>
      </w:r>
      <w:r w:rsidRPr="00DD6488">
        <w:rPr>
          <w:rFonts w:ascii="Times New Roman" w:hAnsi="Times New Roman"/>
        </w:rPr>
        <w:t xml:space="preserve">Prezenta analiza va antama atât aspecte de oportunitate ale actului legislativ, cât </w:t>
      </w:r>
      <w:r w:rsidR="00142D11">
        <w:rPr>
          <w:rFonts w:ascii="Times New Roman" w:hAnsi="Times New Roman"/>
        </w:rPr>
        <w:t>ș</w:t>
      </w:r>
      <w:r w:rsidRPr="00DD6488">
        <w:rPr>
          <w:rFonts w:ascii="Times New Roman" w:hAnsi="Times New Roman"/>
        </w:rPr>
        <w:t xml:space="preserve">i de </w:t>
      </w:r>
      <w:r w:rsidR="00840B29" w:rsidRPr="00DD6488">
        <w:rPr>
          <w:rFonts w:ascii="Times New Roman" w:hAnsi="Times New Roman"/>
        </w:rPr>
        <w:t>constitu</w:t>
      </w:r>
      <w:r w:rsidR="00142D11">
        <w:rPr>
          <w:rFonts w:ascii="Times New Roman" w:hAnsi="Times New Roman"/>
        </w:rPr>
        <w:t>ț</w:t>
      </w:r>
      <w:r w:rsidR="00840B29" w:rsidRPr="00DD6488">
        <w:rPr>
          <w:rFonts w:ascii="Times New Roman" w:hAnsi="Times New Roman"/>
        </w:rPr>
        <w:t>ionalitate</w:t>
      </w:r>
      <w:r w:rsidRPr="00DD6488">
        <w:rPr>
          <w:rFonts w:ascii="Times New Roman" w:hAnsi="Times New Roman"/>
        </w:rPr>
        <w:t xml:space="preserve">, prin raportare la </w:t>
      </w:r>
      <w:r w:rsidR="00840B29" w:rsidRPr="00DD6488">
        <w:rPr>
          <w:rFonts w:ascii="Times New Roman" w:hAnsi="Times New Roman"/>
        </w:rPr>
        <w:t>jurispruden</w:t>
      </w:r>
      <w:r w:rsidR="00142D11">
        <w:rPr>
          <w:rFonts w:ascii="Times New Roman" w:hAnsi="Times New Roman"/>
        </w:rPr>
        <w:t>ț</w:t>
      </w:r>
      <w:r w:rsidR="00840B29" w:rsidRPr="00DD6488">
        <w:rPr>
          <w:rFonts w:ascii="Times New Roman" w:hAnsi="Times New Roman"/>
        </w:rPr>
        <w:t>a</w:t>
      </w:r>
      <w:r w:rsidRPr="00DD6488">
        <w:rPr>
          <w:rFonts w:ascii="Times New Roman" w:hAnsi="Times New Roman"/>
        </w:rPr>
        <w:t xml:space="preserve"> relevantă a </w:t>
      </w:r>
      <w:r w:rsidR="00840B29" w:rsidRPr="00DD6488">
        <w:rPr>
          <w:rFonts w:ascii="Times New Roman" w:hAnsi="Times New Roman"/>
        </w:rPr>
        <w:t>Cur</w:t>
      </w:r>
      <w:r w:rsidR="00142D11">
        <w:rPr>
          <w:rFonts w:ascii="Times New Roman" w:hAnsi="Times New Roman"/>
        </w:rPr>
        <w:t>ț</w:t>
      </w:r>
      <w:r w:rsidR="00840B29" w:rsidRPr="00DD6488">
        <w:rPr>
          <w:rFonts w:ascii="Times New Roman" w:hAnsi="Times New Roman"/>
        </w:rPr>
        <w:t>ii</w:t>
      </w:r>
      <w:r w:rsidRPr="00DD6488">
        <w:rPr>
          <w:rFonts w:ascii="Times New Roman" w:hAnsi="Times New Roman"/>
        </w:rPr>
        <w:t xml:space="preserve"> </w:t>
      </w:r>
      <w:r w:rsidR="00840B29" w:rsidRPr="00DD6488">
        <w:rPr>
          <w:rFonts w:ascii="Times New Roman" w:hAnsi="Times New Roman"/>
        </w:rPr>
        <w:t>Constitu</w:t>
      </w:r>
      <w:r w:rsidR="00142D11">
        <w:rPr>
          <w:rFonts w:ascii="Times New Roman" w:hAnsi="Times New Roman"/>
        </w:rPr>
        <w:t>ț</w:t>
      </w:r>
      <w:r w:rsidR="00840B29" w:rsidRPr="00DD6488">
        <w:rPr>
          <w:rFonts w:ascii="Times New Roman" w:hAnsi="Times New Roman"/>
        </w:rPr>
        <w:t>ionale</w:t>
      </w:r>
      <w:r w:rsidRPr="00DD6488">
        <w:rPr>
          <w:rFonts w:ascii="Times New Roman" w:hAnsi="Times New Roman"/>
        </w:rPr>
        <w:t>.</w:t>
      </w:r>
    </w:p>
    <w:p w14:paraId="372DCE33" w14:textId="59E0AC71" w:rsidR="00AA375F" w:rsidRPr="00DD6488" w:rsidRDefault="00AA375F" w:rsidP="00AA375F">
      <w:pPr>
        <w:spacing w:line="276" w:lineRule="auto"/>
        <w:jc w:val="both"/>
        <w:rPr>
          <w:rFonts w:ascii="Times New Roman" w:hAnsi="Times New Roman"/>
        </w:rPr>
      </w:pPr>
      <w:r w:rsidRPr="00DD6488">
        <w:rPr>
          <w:rFonts w:ascii="Times New Roman" w:hAnsi="Times New Roman"/>
        </w:rPr>
        <w:tab/>
      </w:r>
      <w:r w:rsidR="00840B29" w:rsidRPr="00DD6488">
        <w:rPr>
          <w:rFonts w:ascii="Times New Roman" w:hAnsi="Times New Roman"/>
        </w:rPr>
        <w:t>De</w:t>
      </w:r>
      <w:r w:rsidR="00142D11">
        <w:rPr>
          <w:rFonts w:ascii="Times New Roman" w:hAnsi="Times New Roman"/>
        </w:rPr>
        <w:t>ș</w:t>
      </w:r>
      <w:r w:rsidR="00840B29" w:rsidRPr="00DD6488">
        <w:rPr>
          <w:rFonts w:ascii="Times New Roman" w:hAnsi="Times New Roman"/>
        </w:rPr>
        <w:t>i</w:t>
      </w:r>
      <w:r w:rsidRPr="00DD6488">
        <w:rPr>
          <w:rFonts w:ascii="Times New Roman" w:hAnsi="Times New Roman"/>
        </w:rPr>
        <w:t xml:space="preserve"> în expunerea de motive au fost avute în vedere „cereri </w:t>
      </w:r>
      <w:r w:rsidR="00142D11">
        <w:rPr>
          <w:rFonts w:ascii="Times New Roman" w:hAnsi="Times New Roman"/>
        </w:rPr>
        <w:t>ș</w:t>
      </w:r>
      <w:r w:rsidRPr="00DD6488">
        <w:rPr>
          <w:rFonts w:ascii="Times New Roman" w:hAnsi="Times New Roman"/>
        </w:rPr>
        <w:t xml:space="preserve">i căi de atac informe” adresate </w:t>
      </w:r>
      <w:r w:rsidR="00840B29" w:rsidRPr="00DD6488">
        <w:rPr>
          <w:rFonts w:ascii="Times New Roman" w:hAnsi="Times New Roman"/>
        </w:rPr>
        <w:t>instan</w:t>
      </w:r>
      <w:r w:rsidR="00142D11">
        <w:rPr>
          <w:rFonts w:ascii="Times New Roman" w:hAnsi="Times New Roman"/>
        </w:rPr>
        <w:t>ț</w:t>
      </w:r>
      <w:r w:rsidR="00840B29" w:rsidRPr="00DD6488">
        <w:rPr>
          <w:rFonts w:ascii="Times New Roman" w:hAnsi="Times New Roman"/>
        </w:rPr>
        <w:t>elor</w:t>
      </w:r>
      <w:r w:rsidRPr="00DD6488">
        <w:rPr>
          <w:rFonts w:ascii="Times New Roman" w:hAnsi="Times New Roman"/>
        </w:rPr>
        <w:t xml:space="preserve"> de judecată, </w:t>
      </w:r>
      <w:proofErr w:type="spellStart"/>
      <w:r w:rsidRPr="00DD6488">
        <w:rPr>
          <w:rFonts w:ascii="Times New Roman" w:hAnsi="Times New Roman"/>
        </w:rPr>
        <w:t>PLx</w:t>
      </w:r>
      <w:proofErr w:type="spellEnd"/>
      <w:r w:rsidRPr="00DD6488">
        <w:rPr>
          <w:rFonts w:ascii="Times New Roman" w:hAnsi="Times New Roman"/>
        </w:rPr>
        <w:t xml:space="preserve">. 676/2020 </w:t>
      </w:r>
      <w:r w:rsidRPr="00DD6488">
        <w:rPr>
          <w:rFonts w:ascii="Times New Roman" w:hAnsi="Times New Roman"/>
          <w:b/>
          <w:bCs/>
        </w:rPr>
        <w:t>propune o nouă reglementare numai în materie civilă</w:t>
      </w:r>
      <w:r w:rsidRPr="00DD6488">
        <w:rPr>
          <w:rFonts w:ascii="Times New Roman" w:hAnsi="Times New Roman"/>
        </w:rPr>
        <w:t>, la nivelul Înaltei Cur</w:t>
      </w:r>
      <w:r w:rsidR="00142D11">
        <w:rPr>
          <w:rFonts w:ascii="Times New Roman" w:hAnsi="Times New Roman"/>
        </w:rPr>
        <w:t>ț</w:t>
      </w:r>
      <w:r w:rsidRPr="00DD6488">
        <w:rPr>
          <w:rFonts w:ascii="Times New Roman" w:hAnsi="Times New Roman"/>
        </w:rPr>
        <w:t>i de Casa</w:t>
      </w:r>
      <w:r w:rsidR="00142D11">
        <w:rPr>
          <w:rFonts w:ascii="Times New Roman" w:hAnsi="Times New Roman"/>
        </w:rPr>
        <w:t>ț</w:t>
      </w:r>
      <w:r w:rsidRPr="00DD6488">
        <w:rPr>
          <w:rFonts w:ascii="Times New Roman" w:hAnsi="Times New Roman"/>
        </w:rPr>
        <w:t xml:space="preserve">ie </w:t>
      </w:r>
      <w:r w:rsidR="00142D11">
        <w:rPr>
          <w:rFonts w:ascii="Times New Roman" w:hAnsi="Times New Roman"/>
        </w:rPr>
        <w:t>ș</w:t>
      </w:r>
      <w:r w:rsidRPr="00DD6488">
        <w:rPr>
          <w:rFonts w:ascii="Times New Roman" w:hAnsi="Times New Roman"/>
        </w:rPr>
        <w:t>i Justi</w:t>
      </w:r>
      <w:r w:rsidR="00142D11">
        <w:rPr>
          <w:rFonts w:ascii="Times New Roman" w:hAnsi="Times New Roman"/>
        </w:rPr>
        <w:t>ț</w:t>
      </w:r>
      <w:r w:rsidRPr="00DD6488">
        <w:rPr>
          <w:rFonts w:ascii="Times New Roman" w:hAnsi="Times New Roman"/>
        </w:rPr>
        <w:t xml:space="preserve">ie </w:t>
      </w:r>
      <w:r w:rsidR="00142D11">
        <w:rPr>
          <w:rFonts w:ascii="Times New Roman" w:hAnsi="Times New Roman"/>
        </w:rPr>
        <w:t>ș</w:t>
      </w:r>
      <w:r w:rsidRPr="00DD6488">
        <w:rPr>
          <w:rFonts w:ascii="Times New Roman" w:hAnsi="Times New Roman"/>
        </w:rPr>
        <w:t>i a instan</w:t>
      </w:r>
      <w:r w:rsidR="00142D11">
        <w:rPr>
          <w:rFonts w:ascii="Times New Roman" w:hAnsi="Times New Roman"/>
        </w:rPr>
        <w:t>ț</w:t>
      </w:r>
      <w:r w:rsidRPr="00DD6488">
        <w:rPr>
          <w:rFonts w:ascii="Times New Roman" w:hAnsi="Times New Roman"/>
        </w:rPr>
        <w:t>elor judecătore</w:t>
      </w:r>
      <w:r w:rsidR="00142D11">
        <w:rPr>
          <w:rFonts w:ascii="Times New Roman" w:hAnsi="Times New Roman"/>
        </w:rPr>
        <w:t>ș</w:t>
      </w:r>
      <w:r w:rsidRPr="00DD6488">
        <w:rPr>
          <w:rFonts w:ascii="Times New Roman" w:hAnsi="Times New Roman"/>
        </w:rPr>
        <w:t xml:space="preserve">ti competente să judece căi de atac, respectiv sunt avute în vedere  </w:t>
      </w:r>
      <w:r w:rsidRPr="00DD6488">
        <w:rPr>
          <w:rFonts w:ascii="Times New Roman" w:hAnsi="Times New Roman"/>
          <w:i/>
          <w:iCs/>
        </w:rPr>
        <w:t>cererile înaintate Sec</w:t>
      </w:r>
      <w:r w:rsidR="00142D11">
        <w:rPr>
          <w:rFonts w:ascii="Times New Roman" w:hAnsi="Times New Roman"/>
          <w:i/>
          <w:iCs/>
        </w:rPr>
        <w:t>ț</w:t>
      </w:r>
      <w:r w:rsidRPr="00DD6488">
        <w:rPr>
          <w:rFonts w:ascii="Times New Roman" w:hAnsi="Times New Roman"/>
          <w:i/>
          <w:iCs/>
        </w:rPr>
        <w:t>iei I civile, Sec</w:t>
      </w:r>
      <w:r w:rsidR="00142D11">
        <w:rPr>
          <w:rFonts w:ascii="Times New Roman" w:hAnsi="Times New Roman"/>
          <w:i/>
          <w:iCs/>
        </w:rPr>
        <w:t>ț</w:t>
      </w:r>
      <w:r w:rsidRPr="00DD6488">
        <w:rPr>
          <w:rFonts w:ascii="Times New Roman" w:hAnsi="Times New Roman"/>
          <w:i/>
          <w:iCs/>
        </w:rPr>
        <w:t>iei a II-a civile, Sec</w:t>
      </w:r>
      <w:r w:rsidR="00142D11">
        <w:rPr>
          <w:rFonts w:ascii="Times New Roman" w:hAnsi="Times New Roman"/>
          <w:i/>
          <w:iCs/>
        </w:rPr>
        <w:t>ț</w:t>
      </w:r>
      <w:r w:rsidRPr="00DD6488">
        <w:rPr>
          <w:rFonts w:ascii="Times New Roman" w:hAnsi="Times New Roman"/>
          <w:i/>
          <w:iCs/>
        </w:rPr>
        <w:t xml:space="preserve">iei de contencios administrativ </w:t>
      </w:r>
      <w:r w:rsidR="00142D11">
        <w:rPr>
          <w:rFonts w:ascii="Times New Roman" w:hAnsi="Times New Roman"/>
          <w:i/>
          <w:iCs/>
        </w:rPr>
        <w:t>ș</w:t>
      </w:r>
      <w:r w:rsidRPr="00DD6488">
        <w:rPr>
          <w:rFonts w:ascii="Times New Roman" w:hAnsi="Times New Roman"/>
          <w:i/>
          <w:iCs/>
        </w:rPr>
        <w:t>i fiscal, Completurilor de 5 judecători, cu excep</w:t>
      </w:r>
      <w:r w:rsidR="00142D11">
        <w:rPr>
          <w:rFonts w:ascii="Times New Roman" w:hAnsi="Times New Roman"/>
          <w:i/>
          <w:iCs/>
        </w:rPr>
        <w:t>ț</w:t>
      </w:r>
      <w:r w:rsidRPr="00DD6488">
        <w:rPr>
          <w:rFonts w:ascii="Times New Roman" w:hAnsi="Times New Roman"/>
          <w:i/>
          <w:iCs/>
        </w:rPr>
        <w:t>ia celor formulate în materie penală, sau Sec</w:t>
      </w:r>
      <w:r w:rsidR="00142D11">
        <w:rPr>
          <w:rFonts w:ascii="Times New Roman" w:hAnsi="Times New Roman"/>
          <w:i/>
          <w:iCs/>
        </w:rPr>
        <w:t>ț</w:t>
      </w:r>
      <w:r w:rsidRPr="00DD6488">
        <w:rPr>
          <w:rFonts w:ascii="Times New Roman" w:hAnsi="Times New Roman"/>
          <w:i/>
          <w:iCs/>
        </w:rPr>
        <w:t>iilor Unite ale Înaltei Cur</w:t>
      </w:r>
      <w:r w:rsidR="00142D11">
        <w:rPr>
          <w:rFonts w:ascii="Times New Roman" w:hAnsi="Times New Roman"/>
          <w:i/>
          <w:iCs/>
        </w:rPr>
        <w:t>ț</w:t>
      </w:r>
      <w:r w:rsidRPr="00DD6488">
        <w:rPr>
          <w:rFonts w:ascii="Times New Roman" w:hAnsi="Times New Roman"/>
          <w:i/>
          <w:iCs/>
        </w:rPr>
        <w:t>i de Casa</w:t>
      </w:r>
      <w:r w:rsidR="00142D11">
        <w:rPr>
          <w:rFonts w:ascii="Times New Roman" w:hAnsi="Times New Roman"/>
          <w:i/>
          <w:iCs/>
        </w:rPr>
        <w:t>ț</w:t>
      </w:r>
      <w:r w:rsidRPr="00DD6488">
        <w:rPr>
          <w:rFonts w:ascii="Times New Roman" w:hAnsi="Times New Roman"/>
          <w:i/>
          <w:iCs/>
        </w:rPr>
        <w:t xml:space="preserve">ie </w:t>
      </w:r>
      <w:r w:rsidR="00142D11">
        <w:rPr>
          <w:rFonts w:ascii="Times New Roman" w:hAnsi="Times New Roman"/>
          <w:i/>
          <w:iCs/>
        </w:rPr>
        <w:t>ș</w:t>
      </w:r>
      <w:r w:rsidRPr="00DD6488">
        <w:rPr>
          <w:rFonts w:ascii="Times New Roman" w:hAnsi="Times New Roman"/>
          <w:i/>
          <w:iCs/>
        </w:rPr>
        <w:t>i Justi</w:t>
      </w:r>
      <w:r w:rsidR="00142D11">
        <w:rPr>
          <w:rFonts w:ascii="Times New Roman" w:hAnsi="Times New Roman"/>
          <w:i/>
          <w:iCs/>
        </w:rPr>
        <w:t>ț</w:t>
      </w:r>
      <w:r w:rsidRPr="00DD6488">
        <w:rPr>
          <w:rFonts w:ascii="Times New Roman" w:hAnsi="Times New Roman"/>
          <w:i/>
          <w:iCs/>
        </w:rPr>
        <w:t xml:space="preserve">ie </w:t>
      </w:r>
      <w:r w:rsidR="00142D11">
        <w:rPr>
          <w:rFonts w:ascii="Times New Roman" w:hAnsi="Times New Roman"/>
          <w:i/>
          <w:iCs/>
        </w:rPr>
        <w:t>ș</w:t>
      </w:r>
      <w:r w:rsidRPr="00DD6488">
        <w:rPr>
          <w:rFonts w:ascii="Times New Roman" w:hAnsi="Times New Roman"/>
          <w:i/>
          <w:iCs/>
        </w:rPr>
        <w:t>i căile de atac înregistrate pe rolul instan</w:t>
      </w:r>
      <w:r w:rsidR="00142D11">
        <w:rPr>
          <w:rFonts w:ascii="Times New Roman" w:hAnsi="Times New Roman"/>
          <w:i/>
          <w:iCs/>
        </w:rPr>
        <w:t>ț</w:t>
      </w:r>
      <w:r w:rsidRPr="00DD6488">
        <w:rPr>
          <w:rFonts w:ascii="Times New Roman" w:hAnsi="Times New Roman"/>
          <w:i/>
          <w:iCs/>
        </w:rPr>
        <w:t>elor, respectiv căile de atac înregistrate pe rolul celorlalte instan</w:t>
      </w:r>
      <w:r w:rsidR="00142D11">
        <w:rPr>
          <w:rFonts w:ascii="Times New Roman" w:hAnsi="Times New Roman"/>
          <w:i/>
          <w:iCs/>
        </w:rPr>
        <w:t>ț</w:t>
      </w:r>
      <w:r w:rsidRPr="00DD6488">
        <w:rPr>
          <w:rFonts w:ascii="Times New Roman" w:hAnsi="Times New Roman"/>
          <w:i/>
          <w:iCs/>
        </w:rPr>
        <w:t>e judecătore</w:t>
      </w:r>
      <w:r w:rsidR="00142D11">
        <w:rPr>
          <w:rFonts w:ascii="Times New Roman" w:hAnsi="Times New Roman"/>
          <w:i/>
          <w:iCs/>
        </w:rPr>
        <w:t>ș</w:t>
      </w:r>
      <w:r w:rsidRPr="00DD6488">
        <w:rPr>
          <w:rFonts w:ascii="Times New Roman" w:hAnsi="Times New Roman"/>
          <w:i/>
          <w:iCs/>
        </w:rPr>
        <w:t>ti (judecătorii, tribunale, cur</w:t>
      </w:r>
      <w:r w:rsidR="00142D11">
        <w:rPr>
          <w:rFonts w:ascii="Times New Roman" w:hAnsi="Times New Roman"/>
          <w:i/>
          <w:iCs/>
        </w:rPr>
        <w:t>ț</w:t>
      </w:r>
      <w:r w:rsidRPr="00DD6488">
        <w:rPr>
          <w:rFonts w:ascii="Times New Roman" w:hAnsi="Times New Roman"/>
          <w:i/>
          <w:iCs/>
        </w:rPr>
        <w:t xml:space="preserve">i de apel). </w:t>
      </w:r>
      <w:r w:rsidRPr="00DD6488">
        <w:rPr>
          <w:rFonts w:ascii="Times New Roman" w:hAnsi="Times New Roman"/>
        </w:rPr>
        <w:t>Astfel, propunere legislativă analizată impune o dublă modificare legislativă:</w:t>
      </w:r>
    </w:p>
    <w:p w14:paraId="734C3DA9" w14:textId="391D9228" w:rsidR="00AA375F" w:rsidRPr="00DD6488" w:rsidRDefault="00AA375F" w:rsidP="00AA375F">
      <w:pPr>
        <w:pStyle w:val="ListParagraph"/>
        <w:numPr>
          <w:ilvl w:val="0"/>
          <w:numId w:val="3"/>
        </w:numPr>
        <w:spacing w:line="276" w:lineRule="auto"/>
        <w:jc w:val="both"/>
        <w:rPr>
          <w:rFonts w:ascii="Times New Roman" w:hAnsi="Times New Roman"/>
          <w:sz w:val="24"/>
          <w:szCs w:val="24"/>
        </w:rPr>
      </w:pPr>
      <w:r w:rsidRPr="00DD6488">
        <w:rPr>
          <w:rFonts w:ascii="Times New Roman" w:hAnsi="Times New Roman"/>
          <w:sz w:val="24"/>
          <w:szCs w:val="24"/>
        </w:rPr>
        <w:t>în planul Legii  nr. 304/2004 – privind organizarea judiciară, inserându-se un art. 26</w:t>
      </w:r>
      <w:r w:rsidRPr="00DD6488">
        <w:rPr>
          <w:rFonts w:ascii="Times New Roman" w:hAnsi="Times New Roman"/>
          <w:sz w:val="24"/>
          <w:szCs w:val="24"/>
          <w:vertAlign w:val="superscript"/>
        </w:rPr>
        <w:t>1</w:t>
      </w:r>
      <w:r w:rsidRPr="00DD6488">
        <w:rPr>
          <w:rFonts w:ascii="Times New Roman" w:hAnsi="Times New Roman"/>
          <w:sz w:val="24"/>
          <w:szCs w:val="24"/>
        </w:rPr>
        <w:t xml:space="preserve">, după art. 26 în Capitolul referitor la ÎCCJ, în concret cu privire la </w:t>
      </w:r>
      <w:r w:rsidR="000D315C" w:rsidRPr="00DD6488">
        <w:rPr>
          <w:rFonts w:ascii="Times New Roman" w:hAnsi="Times New Roman"/>
          <w:sz w:val="24"/>
          <w:szCs w:val="24"/>
        </w:rPr>
        <w:t>competen</w:t>
      </w:r>
      <w:r w:rsidR="00142D11">
        <w:rPr>
          <w:rFonts w:ascii="Times New Roman" w:hAnsi="Times New Roman"/>
          <w:sz w:val="24"/>
          <w:szCs w:val="24"/>
        </w:rPr>
        <w:t>ț</w:t>
      </w:r>
      <w:r w:rsidR="000D315C" w:rsidRPr="00DD6488">
        <w:rPr>
          <w:rFonts w:ascii="Times New Roman" w:hAnsi="Times New Roman"/>
          <w:sz w:val="24"/>
          <w:szCs w:val="24"/>
        </w:rPr>
        <w:t>a</w:t>
      </w:r>
      <w:r w:rsidRPr="00DD6488">
        <w:rPr>
          <w:rFonts w:ascii="Times New Roman" w:hAnsi="Times New Roman"/>
          <w:sz w:val="24"/>
          <w:szCs w:val="24"/>
        </w:rPr>
        <w:t xml:space="preserve"> </w:t>
      </w:r>
      <w:r w:rsidR="000D315C" w:rsidRPr="00DD6488">
        <w:rPr>
          <w:rFonts w:ascii="Times New Roman" w:hAnsi="Times New Roman"/>
          <w:sz w:val="24"/>
          <w:szCs w:val="24"/>
        </w:rPr>
        <w:t>instan</w:t>
      </w:r>
      <w:r w:rsidR="00142D11">
        <w:rPr>
          <w:rFonts w:ascii="Times New Roman" w:hAnsi="Times New Roman"/>
          <w:sz w:val="24"/>
          <w:szCs w:val="24"/>
        </w:rPr>
        <w:t>ț</w:t>
      </w:r>
      <w:r w:rsidR="000D315C" w:rsidRPr="00DD6488">
        <w:rPr>
          <w:rFonts w:ascii="Times New Roman" w:hAnsi="Times New Roman"/>
          <w:sz w:val="24"/>
          <w:szCs w:val="24"/>
        </w:rPr>
        <w:t>ei</w:t>
      </w:r>
      <w:r w:rsidRPr="00DD6488">
        <w:rPr>
          <w:rFonts w:ascii="Times New Roman" w:hAnsi="Times New Roman"/>
          <w:sz w:val="24"/>
          <w:szCs w:val="24"/>
        </w:rPr>
        <w:t xml:space="preserve"> supreme</w:t>
      </w:r>
    </w:p>
    <w:p w14:paraId="4EE67301" w14:textId="5461D216" w:rsidR="00AA375F" w:rsidRPr="00DD6488" w:rsidRDefault="00AA375F" w:rsidP="00AA375F">
      <w:pPr>
        <w:pStyle w:val="ListParagraph"/>
        <w:numPr>
          <w:ilvl w:val="0"/>
          <w:numId w:val="3"/>
        </w:numPr>
        <w:spacing w:line="276" w:lineRule="auto"/>
        <w:jc w:val="both"/>
        <w:rPr>
          <w:rFonts w:ascii="Times New Roman" w:hAnsi="Times New Roman"/>
          <w:sz w:val="24"/>
          <w:szCs w:val="24"/>
        </w:rPr>
      </w:pPr>
      <w:r w:rsidRPr="00DD6488">
        <w:rPr>
          <w:rFonts w:ascii="Times New Roman" w:hAnsi="Times New Roman"/>
          <w:sz w:val="24"/>
          <w:szCs w:val="24"/>
        </w:rPr>
        <w:t>în planul NCPC, propunându-se introducerea art. 456</w:t>
      </w:r>
      <w:r w:rsidRPr="00DD6488">
        <w:rPr>
          <w:rFonts w:ascii="Times New Roman" w:hAnsi="Times New Roman"/>
          <w:sz w:val="24"/>
          <w:szCs w:val="24"/>
          <w:vertAlign w:val="superscript"/>
        </w:rPr>
        <w:t>1</w:t>
      </w:r>
      <w:r w:rsidRPr="00DD6488">
        <w:rPr>
          <w:rFonts w:ascii="Times New Roman" w:hAnsi="Times New Roman"/>
          <w:sz w:val="24"/>
          <w:szCs w:val="24"/>
        </w:rPr>
        <w:t xml:space="preserve">, după art. 456 NCPC, respectiv în </w:t>
      </w:r>
      <w:r w:rsidR="000D315C" w:rsidRPr="00DD6488">
        <w:rPr>
          <w:rFonts w:ascii="Times New Roman" w:hAnsi="Times New Roman"/>
          <w:sz w:val="24"/>
          <w:szCs w:val="24"/>
        </w:rPr>
        <w:t>dispozi</w:t>
      </w:r>
      <w:r w:rsidR="00142D11">
        <w:rPr>
          <w:rFonts w:ascii="Times New Roman" w:hAnsi="Times New Roman"/>
          <w:sz w:val="24"/>
          <w:szCs w:val="24"/>
        </w:rPr>
        <w:t>ț</w:t>
      </w:r>
      <w:r w:rsidR="000D315C" w:rsidRPr="00DD6488">
        <w:rPr>
          <w:rFonts w:ascii="Times New Roman" w:hAnsi="Times New Roman"/>
          <w:sz w:val="24"/>
          <w:szCs w:val="24"/>
        </w:rPr>
        <w:t>iile</w:t>
      </w:r>
      <w:r w:rsidRPr="00DD6488">
        <w:rPr>
          <w:rFonts w:ascii="Times New Roman" w:hAnsi="Times New Roman"/>
          <w:sz w:val="24"/>
          <w:szCs w:val="24"/>
        </w:rPr>
        <w:t xml:space="preserve"> generale privind căile de atac.</w:t>
      </w:r>
    </w:p>
    <w:p w14:paraId="183E82AD" w14:textId="2F61CB98" w:rsidR="00AA375F" w:rsidRPr="00DD6488" w:rsidRDefault="00AA375F" w:rsidP="00AA375F">
      <w:pPr>
        <w:spacing w:line="276" w:lineRule="auto"/>
        <w:ind w:firstLine="360"/>
        <w:jc w:val="both"/>
        <w:rPr>
          <w:rFonts w:ascii="Times New Roman" w:hAnsi="Times New Roman"/>
        </w:rPr>
      </w:pPr>
      <w:r w:rsidRPr="00DD6488">
        <w:rPr>
          <w:rFonts w:ascii="Times New Roman" w:hAnsi="Times New Roman"/>
        </w:rPr>
        <w:t xml:space="preserve">Prin art. I al </w:t>
      </w:r>
      <w:proofErr w:type="spellStart"/>
      <w:r w:rsidRPr="00DD6488">
        <w:rPr>
          <w:rFonts w:ascii="Times New Roman" w:hAnsi="Times New Roman"/>
        </w:rPr>
        <w:t>PLx</w:t>
      </w:r>
      <w:proofErr w:type="spellEnd"/>
      <w:r w:rsidRPr="00DD6488">
        <w:rPr>
          <w:rFonts w:ascii="Times New Roman" w:hAnsi="Times New Roman"/>
        </w:rPr>
        <w:t xml:space="preserve">. 676/2020 au fost enumerate </w:t>
      </w:r>
      <w:r w:rsidRPr="00DD6488">
        <w:rPr>
          <w:rFonts w:ascii="Times New Roman" w:hAnsi="Times New Roman"/>
          <w:i/>
          <w:iCs/>
        </w:rPr>
        <w:t>cererile înaintate</w:t>
      </w:r>
      <w:r w:rsidRPr="00DD6488">
        <w:rPr>
          <w:rFonts w:ascii="Times New Roman" w:hAnsi="Times New Roman"/>
        </w:rPr>
        <w:t xml:space="preserve"> </w:t>
      </w:r>
      <w:bookmarkStart w:id="0" w:name="_Hlk56877769"/>
      <w:r w:rsidRPr="00DD6488">
        <w:rPr>
          <w:rFonts w:ascii="Times New Roman" w:hAnsi="Times New Roman"/>
        </w:rPr>
        <w:t>Sec</w:t>
      </w:r>
      <w:r w:rsidR="00142D11">
        <w:rPr>
          <w:rFonts w:ascii="Times New Roman" w:hAnsi="Times New Roman"/>
        </w:rPr>
        <w:t>ț</w:t>
      </w:r>
      <w:r w:rsidRPr="00DD6488">
        <w:rPr>
          <w:rFonts w:ascii="Times New Roman" w:hAnsi="Times New Roman"/>
        </w:rPr>
        <w:t>iei I civile, Sec</w:t>
      </w:r>
      <w:r w:rsidR="00142D11">
        <w:rPr>
          <w:rFonts w:ascii="Times New Roman" w:hAnsi="Times New Roman"/>
        </w:rPr>
        <w:t>ț</w:t>
      </w:r>
      <w:r w:rsidRPr="00DD6488">
        <w:rPr>
          <w:rFonts w:ascii="Times New Roman" w:hAnsi="Times New Roman"/>
        </w:rPr>
        <w:t>iei a II-a civile, Sec</w:t>
      </w:r>
      <w:r w:rsidR="00142D11">
        <w:rPr>
          <w:rFonts w:ascii="Times New Roman" w:hAnsi="Times New Roman"/>
        </w:rPr>
        <w:t>ț</w:t>
      </w:r>
      <w:r w:rsidRPr="00DD6488">
        <w:rPr>
          <w:rFonts w:ascii="Times New Roman" w:hAnsi="Times New Roman"/>
        </w:rPr>
        <w:t xml:space="preserve">iei de contencios administrativ </w:t>
      </w:r>
      <w:r w:rsidR="00142D11">
        <w:rPr>
          <w:rFonts w:ascii="Times New Roman" w:hAnsi="Times New Roman"/>
        </w:rPr>
        <w:t>ș</w:t>
      </w:r>
      <w:r w:rsidRPr="00DD6488">
        <w:rPr>
          <w:rFonts w:ascii="Times New Roman" w:hAnsi="Times New Roman"/>
        </w:rPr>
        <w:t xml:space="preserve">i fiscal, Completurilor de 5 judecători, cu </w:t>
      </w:r>
      <w:r w:rsidR="000D315C" w:rsidRPr="00DD6488">
        <w:rPr>
          <w:rFonts w:ascii="Times New Roman" w:hAnsi="Times New Roman"/>
        </w:rPr>
        <w:t>excep</w:t>
      </w:r>
      <w:r w:rsidR="00142D11">
        <w:rPr>
          <w:rFonts w:ascii="Times New Roman" w:hAnsi="Times New Roman"/>
        </w:rPr>
        <w:t>ț</w:t>
      </w:r>
      <w:r w:rsidR="000D315C" w:rsidRPr="00DD6488">
        <w:rPr>
          <w:rFonts w:ascii="Times New Roman" w:hAnsi="Times New Roman"/>
        </w:rPr>
        <w:t>ia</w:t>
      </w:r>
      <w:r w:rsidRPr="00DD6488">
        <w:rPr>
          <w:rFonts w:ascii="Times New Roman" w:hAnsi="Times New Roman"/>
        </w:rPr>
        <w:t xml:space="preserve"> celor formulate în materie penală, sau Sec</w:t>
      </w:r>
      <w:r w:rsidR="00142D11">
        <w:rPr>
          <w:rFonts w:ascii="Times New Roman" w:hAnsi="Times New Roman"/>
        </w:rPr>
        <w:t>ț</w:t>
      </w:r>
      <w:r w:rsidRPr="00DD6488">
        <w:rPr>
          <w:rFonts w:ascii="Times New Roman" w:hAnsi="Times New Roman"/>
        </w:rPr>
        <w:t xml:space="preserve">iilor Unite ale Înaltei </w:t>
      </w:r>
      <w:r w:rsidR="000D315C" w:rsidRPr="00DD6488">
        <w:rPr>
          <w:rFonts w:ascii="Times New Roman" w:hAnsi="Times New Roman"/>
        </w:rPr>
        <w:t>Cur</w:t>
      </w:r>
      <w:r w:rsidR="00142D11">
        <w:rPr>
          <w:rFonts w:ascii="Times New Roman" w:hAnsi="Times New Roman"/>
        </w:rPr>
        <w:t>ț</w:t>
      </w:r>
      <w:r w:rsidR="000D315C" w:rsidRPr="00DD6488">
        <w:rPr>
          <w:rFonts w:ascii="Times New Roman" w:hAnsi="Times New Roman"/>
        </w:rPr>
        <w:t>i</w:t>
      </w:r>
      <w:r w:rsidRPr="00DD6488">
        <w:rPr>
          <w:rFonts w:ascii="Times New Roman" w:hAnsi="Times New Roman"/>
        </w:rPr>
        <w:t xml:space="preserve"> de </w:t>
      </w:r>
      <w:r w:rsidR="000D315C" w:rsidRPr="00DD6488">
        <w:rPr>
          <w:rFonts w:ascii="Times New Roman" w:hAnsi="Times New Roman"/>
        </w:rPr>
        <w:t>Casa</w:t>
      </w:r>
      <w:r w:rsidR="00142D11">
        <w:rPr>
          <w:rFonts w:ascii="Times New Roman" w:hAnsi="Times New Roman"/>
        </w:rPr>
        <w:t>ț</w:t>
      </w:r>
      <w:r w:rsidR="000D315C" w:rsidRPr="00DD6488">
        <w:rPr>
          <w:rFonts w:ascii="Times New Roman" w:hAnsi="Times New Roman"/>
        </w:rPr>
        <w:t>ie</w:t>
      </w:r>
      <w:r w:rsidRPr="00DD6488">
        <w:rPr>
          <w:rFonts w:ascii="Times New Roman" w:hAnsi="Times New Roman"/>
        </w:rPr>
        <w:t xml:space="preserve"> </w:t>
      </w:r>
      <w:r w:rsidR="00142D11">
        <w:rPr>
          <w:rFonts w:ascii="Times New Roman" w:hAnsi="Times New Roman"/>
        </w:rPr>
        <w:t>ș</w:t>
      </w:r>
      <w:r w:rsidRPr="00DD6488">
        <w:rPr>
          <w:rFonts w:ascii="Times New Roman" w:hAnsi="Times New Roman"/>
        </w:rPr>
        <w:t>i Justi</w:t>
      </w:r>
      <w:r w:rsidR="00142D11">
        <w:rPr>
          <w:rFonts w:ascii="Times New Roman" w:hAnsi="Times New Roman"/>
        </w:rPr>
        <w:t>ț</w:t>
      </w:r>
      <w:r w:rsidRPr="00DD6488">
        <w:rPr>
          <w:rFonts w:ascii="Times New Roman" w:hAnsi="Times New Roman"/>
        </w:rPr>
        <w:t>ie</w:t>
      </w:r>
      <w:bookmarkEnd w:id="0"/>
      <w:r w:rsidRPr="00DD6488">
        <w:rPr>
          <w:rFonts w:ascii="Times New Roman" w:hAnsi="Times New Roman"/>
        </w:rPr>
        <w:t xml:space="preserve">. Având în vedere că a fost exclusă materia penală, prin raportare la </w:t>
      </w:r>
      <w:r w:rsidR="00840B29" w:rsidRPr="00DD6488">
        <w:rPr>
          <w:rFonts w:ascii="Times New Roman" w:hAnsi="Times New Roman"/>
        </w:rPr>
        <w:t>competen</w:t>
      </w:r>
      <w:r w:rsidR="00142D11">
        <w:rPr>
          <w:rFonts w:ascii="Times New Roman" w:hAnsi="Times New Roman"/>
        </w:rPr>
        <w:t>ț</w:t>
      </w:r>
      <w:r w:rsidR="00840B29" w:rsidRPr="00DD6488">
        <w:rPr>
          <w:rFonts w:ascii="Times New Roman" w:hAnsi="Times New Roman"/>
        </w:rPr>
        <w:t>a</w:t>
      </w:r>
      <w:r w:rsidRPr="00DD6488">
        <w:rPr>
          <w:rFonts w:ascii="Times New Roman" w:hAnsi="Times New Roman"/>
        </w:rPr>
        <w:t xml:space="preserve"> legală a acestor </w:t>
      </w:r>
      <w:r w:rsidR="000D315C" w:rsidRPr="00DD6488">
        <w:rPr>
          <w:rFonts w:ascii="Times New Roman" w:hAnsi="Times New Roman"/>
        </w:rPr>
        <w:t>sec</w:t>
      </w:r>
      <w:r w:rsidR="00142D11">
        <w:rPr>
          <w:rFonts w:ascii="Times New Roman" w:hAnsi="Times New Roman"/>
        </w:rPr>
        <w:t>ț</w:t>
      </w:r>
      <w:r w:rsidR="000D315C" w:rsidRPr="00DD6488">
        <w:rPr>
          <w:rFonts w:ascii="Times New Roman" w:hAnsi="Times New Roman"/>
        </w:rPr>
        <w:t>ii</w:t>
      </w:r>
      <w:r w:rsidRPr="00DD6488">
        <w:rPr>
          <w:rFonts w:ascii="Times New Roman" w:hAnsi="Times New Roman"/>
        </w:rPr>
        <w:t>, sunt avute în vedere următoarele cereri în materie civilă:</w:t>
      </w:r>
    </w:p>
    <w:p w14:paraId="3127F752" w14:textId="04FA5B9F" w:rsidR="00AA375F" w:rsidRPr="00DD6488" w:rsidRDefault="00AA375F" w:rsidP="00AA375F">
      <w:pPr>
        <w:pStyle w:val="ListParagraph"/>
        <w:numPr>
          <w:ilvl w:val="0"/>
          <w:numId w:val="4"/>
        </w:numPr>
        <w:spacing w:line="276" w:lineRule="auto"/>
        <w:jc w:val="both"/>
        <w:rPr>
          <w:rFonts w:ascii="Times New Roman" w:hAnsi="Times New Roman"/>
          <w:sz w:val="24"/>
          <w:szCs w:val="24"/>
        </w:rPr>
      </w:pPr>
      <w:r w:rsidRPr="00DD6488">
        <w:rPr>
          <w:rFonts w:ascii="Times New Roman" w:hAnsi="Times New Roman"/>
          <w:i/>
          <w:iCs/>
          <w:sz w:val="24"/>
          <w:szCs w:val="24"/>
        </w:rPr>
        <w:t>recursurile</w:t>
      </w:r>
      <w:r w:rsidRPr="00DD6488">
        <w:rPr>
          <w:rFonts w:ascii="Times New Roman" w:hAnsi="Times New Roman"/>
          <w:sz w:val="24"/>
          <w:szCs w:val="24"/>
        </w:rPr>
        <w:t xml:space="preserve"> împotriva hotărârilor pronun</w:t>
      </w:r>
      <w:r w:rsidR="00142D11">
        <w:rPr>
          <w:rFonts w:ascii="Times New Roman" w:hAnsi="Times New Roman"/>
          <w:sz w:val="24"/>
          <w:szCs w:val="24"/>
        </w:rPr>
        <w:t>ț</w:t>
      </w:r>
      <w:r w:rsidRPr="00DD6488">
        <w:rPr>
          <w:rFonts w:ascii="Times New Roman" w:hAnsi="Times New Roman"/>
          <w:sz w:val="24"/>
          <w:szCs w:val="24"/>
        </w:rPr>
        <w:t>ate de cur</w:t>
      </w:r>
      <w:r w:rsidR="00142D11">
        <w:rPr>
          <w:rFonts w:ascii="Times New Roman" w:hAnsi="Times New Roman"/>
          <w:sz w:val="24"/>
          <w:szCs w:val="24"/>
        </w:rPr>
        <w:t>ț</w:t>
      </w:r>
      <w:r w:rsidRPr="00DD6488">
        <w:rPr>
          <w:rFonts w:ascii="Times New Roman" w:hAnsi="Times New Roman"/>
          <w:sz w:val="24"/>
          <w:szCs w:val="24"/>
        </w:rPr>
        <w:t xml:space="preserve">ile de apel </w:t>
      </w:r>
      <w:r w:rsidR="00142D11">
        <w:rPr>
          <w:rFonts w:ascii="Times New Roman" w:hAnsi="Times New Roman"/>
          <w:sz w:val="24"/>
          <w:szCs w:val="24"/>
        </w:rPr>
        <w:t>ș</w:t>
      </w:r>
      <w:r w:rsidRPr="00DD6488">
        <w:rPr>
          <w:rFonts w:ascii="Times New Roman" w:hAnsi="Times New Roman"/>
          <w:sz w:val="24"/>
          <w:szCs w:val="24"/>
        </w:rPr>
        <w:t xml:space="preserve">i a altor hotărâri, în cazurile prevăzute de lege, precum </w:t>
      </w:r>
      <w:r w:rsidR="00142D11">
        <w:rPr>
          <w:rFonts w:ascii="Times New Roman" w:hAnsi="Times New Roman"/>
          <w:sz w:val="24"/>
          <w:szCs w:val="24"/>
        </w:rPr>
        <w:t>ș</w:t>
      </w:r>
      <w:r w:rsidRPr="00DD6488">
        <w:rPr>
          <w:rFonts w:ascii="Times New Roman" w:hAnsi="Times New Roman"/>
          <w:sz w:val="24"/>
          <w:szCs w:val="24"/>
        </w:rPr>
        <w:t xml:space="preserve">i </w:t>
      </w:r>
      <w:r w:rsidRPr="00DD6488">
        <w:rPr>
          <w:rFonts w:ascii="Times New Roman" w:hAnsi="Times New Roman"/>
          <w:i/>
          <w:iCs/>
          <w:sz w:val="24"/>
          <w:szCs w:val="24"/>
        </w:rPr>
        <w:t>recursurile</w:t>
      </w:r>
      <w:r w:rsidRPr="00DD6488">
        <w:rPr>
          <w:rFonts w:ascii="Times New Roman" w:hAnsi="Times New Roman"/>
          <w:sz w:val="24"/>
          <w:szCs w:val="24"/>
        </w:rPr>
        <w:t xml:space="preserve"> declarate împotriva hotărârilor nedefinitive sau a actelor judecătore</w:t>
      </w:r>
      <w:r w:rsidR="00142D11">
        <w:rPr>
          <w:rFonts w:ascii="Times New Roman" w:hAnsi="Times New Roman"/>
          <w:sz w:val="24"/>
          <w:szCs w:val="24"/>
        </w:rPr>
        <w:t>ș</w:t>
      </w:r>
      <w:r w:rsidRPr="00DD6488">
        <w:rPr>
          <w:rFonts w:ascii="Times New Roman" w:hAnsi="Times New Roman"/>
          <w:sz w:val="24"/>
          <w:szCs w:val="24"/>
        </w:rPr>
        <w:t>ti, de orice natură, care nu pot fi atacate pe nicio altă cale, iar cursul judecă</w:t>
      </w:r>
      <w:r w:rsidR="00142D11">
        <w:rPr>
          <w:rFonts w:ascii="Times New Roman" w:hAnsi="Times New Roman"/>
          <w:sz w:val="24"/>
          <w:szCs w:val="24"/>
        </w:rPr>
        <w:t>ț</w:t>
      </w:r>
      <w:r w:rsidRPr="00DD6488">
        <w:rPr>
          <w:rFonts w:ascii="Times New Roman" w:hAnsi="Times New Roman"/>
          <w:sz w:val="24"/>
          <w:szCs w:val="24"/>
        </w:rPr>
        <w:t>ii a fost întrerupt în fa</w:t>
      </w:r>
      <w:r w:rsidR="00142D11">
        <w:rPr>
          <w:rFonts w:ascii="Times New Roman" w:hAnsi="Times New Roman"/>
          <w:sz w:val="24"/>
          <w:szCs w:val="24"/>
        </w:rPr>
        <w:t>ț</w:t>
      </w:r>
      <w:r w:rsidRPr="00DD6488">
        <w:rPr>
          <w:rFonts w:ascii="Times New Roman" w:hAnsi="Times New Roman"/>
          <w:sz w:val="24"/>
          <w:szCs w:val="24"/>
        </w:rPr>
        <w:t>a cur</w:t>
      </w:r>
      <w:r w:rsidR="00142D11">
        <w:rPr>
          <w:rFonts w:ascii="Times New Roman" w:hAnsi="Times New Roman"/>
          <w:sz w:val="24"/>
          <w:szCs w:val="24"/>
        </w:rPr>
        <w:t>ț</w:t>
      </w:r>
      <w:r w:rsidRPr="00DD6488">
        <w:rPr>
          <w:rFonts w:ascii="Times New Roman" w:hAnsi="Times New Roman"/>
          <w:sz w:val="24"/>
          <w:szCs w:val="24"/>
        </w:rPr>
        <w:t xml:space="preserve">ilor de apel (prin raportare la </w:t>
      </w:r>
      <w:r w:rsidR="000D315C" w:rsidRPr="00DD6488">
        <w:rPr>
          <w:rFonts w:ascii="Times New Roman" w:hAnsi="Times New Roman"/>
          <w:sz w:val="24"/>
          <w:szCs w:val="24"/>
        </w:rPr>
        <w:t>competen</w:t>
      </w:r>
      <w:r w:rsidR="00142D11">
        <w:rPr>
          <w:rFonts w:ascii="Times New Roman" w:hAnsi="Times New Roman"/>
          <w:sz w:val="24"/>
          <w:szCs w:val="24"/>
        </w:rPr>
        <w:t>ț</w:t>
      </w:r>
      <w:r w:rsidR="000D315C" w:rsidRPr="00DD6488">
        <w:rPr>
          <w:rFonts w:ascii="Times New Roman" w:hAnsi="Times New Roman"/>
          <w:sz w:val="24"/>
          <w:szCs w:val="24"/>
        </w:rPr>
        <w:t>a</w:t>
      </w:r>
      <w:r w:rsidRPr="00DD6488">
        <w:rPr>
          <w:rFonts w:ascii="Times New Roman" w:hAnsi="Times New Roman"/>
          <w:sz w:val="24"/>
          <w:szCs w:val="24"/>
        </w:rPr>
        <w:t xml:space="preserve"> în materie civilă a </w:t>
      </w:r>
      <w:r w:rsidR="000D315C" w:rsidRPr="00DD6488">
        <w:rPr>
          <w:rFonts w:ascii="Times New Roman" w:hAnsi="Times New Roman"/>
          <w:sz w:val="24"/>
          <w:szCs w:val="24"/>
        </w:rPr>
        <w:t>Sec</w:t>
      </w:r>
      <w:r w:rsidR="00142D11">
        <w:rPr>
          <w:rFonts w:ascii="Times New Roman" w:hAnsi="Times New Roman"/>
          <w:sz w:val="24"/>
          <w:szCs w:val="24"/>
        </w:rPr>
        <w:t>ț</w:t>
      </w:r>
      <w:r w:rsidR="000D315C" w:rsidRPr="00DD6488">
        <w:rPr>
          <w:rFonts w:ascii="Times New Roman" w:hAnsi="Times New Roman"/>
          <w:sz w:val="24"/>
          <w:szCs w:val="24"/>
        </w:rPr>
        <w:t>iilor</w:t>
      </w:r>
      <w:r w:rsidRPr="00DD6488">
        <w:rPr>
          <w:rFonts w:ascii="Times New Roman" w:hAnsi="Times New Roman"/>
          <w:sz w:val="24"/>
          <w:szCs w:val="24"/>
        </w:rPr>
        <w:t xml:space="preserve"> enumerate – art. 21 alin. 1 din Legea nr. 304/2004)</w:t>
      </w:r>
    </w:p>
    <w:p w14:paraId="6547E1C6" w14:textId="0384D219" w:rsidR="00AA375F" w:rsidRPr="00DD6488" w:rsidRDefault="00AA375F" w:rsidP="00AA375F">
      <w:pPr>
        <w:pStyle w:val="ListParagraph"/>
        <w:numPr>
          <w:ilvl w:val="0"/>
          <w:numId w:val="4"/>
        </w:numPr>
        <w:spacing w:line="276" w:lineRule="auto"/>
        <w:jc w:val="both"/>
        <w:rPr>
          <w:rFonts w:ascii="Times New Roman" w:hAnsi="Times New Roman"/>
          <w:sz w:val="24"/>
          <w:szCs w:val="24"/>
        </w:rPr>
      </w:pPr>
      <w:r w:rsidRPr="00DD6488">
        <w:rPr>
          <w:rFonts w:ascii="Times New Roman" w:hAnsi="Times New Roman"/>
          <w:i/>
          <w:iCs/>
          <w:sz w:val="24"/>
          <w:szCs w:val="24"/>
        </w:rPr>
        <w:t>cererile de strămutare</w:t>
      </w:r>
      <w:r w:rsidRPr="00DD6488">
        <w:rPr>
          <w:rFonts w:ascii="Times New Roman" w:hAnsi="Times New Roman"/>
          <w:sz w:val="24"/>
          <w:szCs w:val="24"/>
        </w:rPr>
        <w:t xml:space="preserve">, pentru motivele prevăzute în codurile de procedura civilă </w:t>
      </w:r>
      <w:r w:rsidR="00142D11">
        <w:rPr>
          <w:rFonts w:ascii="Times New Roman" w:hAnsi="Times New Roman"/>
          <w:sz w:val="24"/>
          <w:szCs w:val="24"/>
        </w:rPr>
        <w:t>ș</w:t>
      </w:r>
      <w:r w:rsidRPr="00DD6488">
        <w:rPr>
          <w:rFonts w:ascii="Times New Roman" w:hAnsi="Times New Roman"/>
          <w:sz w:val="24"/>
          <w:szCs w:val="24"/>
        </w:rPr>
        <w:t xml:space="preserve">i </w:t>
      </w:r>
      <w:r w:rsidRPr="00DD6488">
        <w:rPr>
          <w:rFonts w:ascii="Times New Roman" w:hAnsi="Times New Roman"/>
          <w:i/>
          <w:iCs/>
          <w:sz w:val="24"/>
          <w:szCs w:val="24"/>
        </w:rPr>
        <w:t>conflictele de competenta</w:t>
      </w:r>
      <w:r w:rsidRPr="00DD6488">
        <w:rPr>
          <w:rFonts w:ascii="Times New Roman" w:hAnsi="Times New Roman"/>
          <w:sz w:val="24"/>
          <w:szCs w:val="24"/>
        </w:rPr>
        <w:t xml:space="preserve">, în cazurile prevăzute de lege (art. 23 alin. 1 din Legea nr. 304/2004 – tot în materie de </w:t>
      </w:r>
      <w:r w:rsidR="000D315C" w:rsidRPr="00DD6488">
        <w:rPr>
          <w:rFonts w:ascii="Times New Roman" w:hAnsi="Times New Roman"/>
          <w:sz w:val="24"/>
          <w:szCs w:val="24"/>
        </w:rPr>
        <w:t>competen</w:t>
      </w:r>
      <w:r w:rsidR="00142D11">
        <w:rPr>
          <w:rFonts w:ascii="Times New Roman" w:hAnsi="Times New Roman"/>
          <w:sz w:val="24"/>
          <w:szCs w:val="24"/>
        </w:rPr>
        <w:t>ț</w:t>
      </w:r>
      <w:r w:rsidR="000D315C" w:rsidRPr="00DD6488">
        <w:rPr>
          <w:rFonts w:ascii="Times New Roman" w:hAnsi="Times New Roman"/>
          <w:sz w:val="24"/>
          <w:szCs w:val="24"/>
        </w:rPr>
        <w:t>ă</w:t>
      </w:r>
      <w:r w:rsidRPr="00DD6488">
        <w:rPr>
          <w:rFonts w:ascii="Times New Roman" w:hAnsi="Times New Roman"/>
          <w:sz w:val="24"/>
          <w:szCs w:val="24"/>
        </w:rPr>
        <w:t xml:space="preserve"> a </w:t>
      </w:r>
      <w:r w:rsidR="000D315C" w:rsidRPr="00DD6488">
        <w:rPr>
          <w:rFonts w:ascii="Times New Roman" w:hAnsi="Times New Roman"/>
          <w:sz w:val="24"/>
          <w:szCs w:val="24"/>
        </w:rPr>
        <w:t>Sec</w:t>
      </w:r>
      <w:r w:rsidR="00142D11">
        <w:rPr>
          <w:rFonts w:ascii="Times New Roman" w:hAnsi="Times New Roman"/>
          <w:sz w:val="24"/>
          <w:szCs w:val="24"/>
        </w:rPr>
        <w:t>ț</w:t>
      </w:r>
      <w:r w:rsidR="000D315C" w:rsidRPr="00DD6488">
        <w:rPr>
          <w:rFonts w:ascii="Times New Roman" w:hAnsi="Times New Roman"/>
          <w:sz w:val="24"/>
          <w:szCs w:val="24"/>
        </w:rPr>
        <w:t>iilor</w:t>
      </w:r>
      <w:r w:rsidRPr="00DD6488">
        <w:rPr>
          <w:rFonts w:ascii="Times New Roman" w:hAnsi="Times New Roman"/>
          <w:sz w:val="24"/>
          <w:szCs w:val="24"/>
        </w:rPr>
        <w:t>)</w:t>
      </w:r>
    </w:p>
    <w:p w14:paraId="11AD52BB" w14:textId="62128358" w:rsidR="00AA375F" w:rsidRPr="00DD6488" w:rsidRDefault="00AA375F" w:rsidP="00AA375F">
      <w:pPr>
        <w:pStyle w:val="ListParagraph"/>
        <w:numPr>
          <w:ilvl w:val="0"/>
          <w:numId w:val="4"/>
        </w:numPr>
        <w:spacing w:line="276" w:lineRule="auto"/>
        <w:jc w:val="both"/>
        <w:rPr>
          <w:rFonts w:ascii="Times New Roman" w:hAnsi="Times New Roman"/>
          <w:sz w:val="24"/>
          <w:szCs w:val="24"/>
        </w:rPr>
      </w:pPr>
      <w:r w:rsidRPr="00DD6488">
        <w:rPr>
          <w:rFonts w:ascii="Times New Roman" w:hAnsi="Times New Roman"/>
          <w:i/>
          <w:iCs/>
          <w:sz w:val="24"/>
          <w:szCs w:val="24"/>
        </w:rPr>
        <w:t>cauzele în materie disciplinară</w:t>
      </w:r>
      <w:r w:rsidRPr="00DD6488">
        <w:rPr>
          <w:rFonts w:ascii="Times New Roman" w:hAnsi="Times New Roman"/>
          <w:sz w:val="24"/>
          <w:szCs w:val="24"/>
        </w:rPr>
        <w:t xml:space="preserve"> potrivit legii (este avută în vedere răspunderea disciplinară a </w:t>
      </w:r>
      <w:r w:rsidR="000D315C" w:rsidRPr="00DD6488">
        <w:rPr>
          <w:rFonts w:ascii="Times New Roman" w:hAnsi="Times New Roman"/>
          <w:sz w:val="24"/>
          <w:szCs w:val="24"/>
        </w:rPr>
        <w:t>magistra</w:t>
      </w:r>
      <w:r w:rsidR="00142D11">
        <w:rPr>
          <w:rFonts w:ascii="Times New Roman" w:hAnsi="Times New Roman"/>
          <w:sz w:val="24"/>
          <w:szCs w:val="24"/>
        </w:rPr>
        <w:t>ț</w:t>
      </w:r>
      <w:r w:rsidR="000D315C" w:rsidRPr="00DD6488">
        <w:rPr>
          <w:rFonts w:ascii="Times New Roman" w:hAnsi="Times New Roman"/>
          <w:sz w:val="24"/>
          <w:szCs w:val="24"/>
        </w:rPr>
        <w:t>ilor</w:t>
      </w:r>
      <w:r w:rsidRPr="00DD6488">
        <w:rPr>
          <w:rFonts w:ascii="Times New Roman" w:hAnsi="Times New Roman"/>
          <w:sz w:val="24"/>
          <w:szCs w:val="24"/>
        </w:rPr>
        <w:t xml:space="preserve">) </w:t>
      </w:r>
      <w:r w:rsidR="00142D11">
        <w:rPr>
          <w:rFonts w:ascii="Times New Roman" w:hAnsi="Times New Roman"/>
          <w:sz w:val="24"/>
          <w:szCs w:val="24"/>
        </w:rPr>
        <w:t>ș</w:t>
      </w:r>
      <w:r w:rsidRPr="00DD6488">
        <w:rPr>
          <w:rFonts w:ascii="Times New Roman" w:hAnsi="Times New Roman"/>
          <w:sz w:val="24"/>
          <w:szCs w:val="24"/>
        </w:rPr>
        <w:t>i recursurile împotriva hotărârilor de respingere a cererilor de sesizare a Cur</w:t>
      </w:r>
      <w:r w:rsidR="00142D11">
        <w:rPr>
          <w:rFonts w:ascii="Times New Roman" w:hAnsi="Times New Roman"/>
          <w:sz w:val="24"/>
          <w:szCs w:val="24"/>
        </w:rPr>
        <w:t>ț</w:t>
      </w:r>
      <w:r w:rsidRPr="00DD6488">
        <w:rPr>
          <w:rFonts w:ascii="Times New Roman" w:hAnsi="Times New Roman"/>
          <w:sz w:val="24"/>
          <w:szCs w:val="24"/>
        </w:rPr>
        <w:t>ii Constitu</w:t>
      </w:r>
      <w:r w:rsidR="00142D11">
        <w:rPr>
          <w:rFonts w:ascii="Times New Roman" w:hAnsi="Times New Roman"/>
          <w:sz w:val="24"/>
          <w:szCs w:val="24"/>
        </w:rPr>
        <w:t>ț</w:t>
      </w:r>
      <w:r w:rsidRPr="00DD6488">
        <w:rPr>
          <w:rFonts w:ascii="Times New Roman" w:hAnsi="Times New Roman"/>
          <w:sz w:val="24"/>
          <w:szCs w:val="24"/>
        </w:rPr>
        <w:t>ionale, pronun</w:t>
      </w:r>
      <w:r w:rsidR="00142D11">
        <w:rPr>
          <w:rFonts w:ascii="Times New Roman" w:hAnsi="Times New Roman"/>
          <w:sz w:val="24"/>
          <w:szCs w:val="24"/>
        </w:rPr>
        <w:t>ț</w:t>
      </w:r>
      <w:r w:rsidRPr="00DD6488">
        <w:rPr>
          <w:rFonts w:ascii="Times New Roman" w:hAnsi="Times New Roman"/>
          <w:sz w:val="24"/>
          <w:szCs w:val="24"/>
        </w:rPr>
        <w:t xml:space="preserve">ate de un alt complet de 5 judecători (art. 24 din Legea nr. 304/2004 – </w:t>
      </w:r>
      <w:r w:rsidR="000D315C" w:rsidRPr="00DD6488">
        <w:rPr>
          <w:rFonts w:ascii="Times New Roman" w:hAnsi="Times New Roman"/>
          <w:sz w:val="24"/>
          <w:szCs w:val="24"/>
        </w:rPr>
        <w:t>competen</w:t>
      </w:r>
      <w:r w:rsidR="00142D11">
        <w:rPr>
          <w:rFonts w:ascii="Times New Roman" w:hAnsi="Times New Roman"/>
          <w:sz w:val="24"/>
          <w:szCs w:val="24"/>
        </w:rPr>
        <w:t>ț</w:t>
      </w:r>
      <w:r w:rsidR="000D315C" w:rsidRPr="00DD6488">
        <w:rPr>
          <w:rFonts w:ascii="Times New Roman" w:hAnsi="Times New Roman"/>
          <w:sz w:val="24"/>
          <w:szCs w:val="24"/>
        </w:rPr>
        <w:t>a</w:t>
      </w:r>
      <w:r w:rsidRPr="00DD6488">
        <w:rPr>
          <w:rFonts w:ascii="Times New Roman" w:hAnsi="Times New Roman"/>
          <w:sz w:val="24"/>
          <w:szCs w:val="24"/>
        </w:rPr>
        <w:t xml:space="preserve"> în materie civilă a Completului de 5)</w:t>
      </w:r>
    </w:p>
    <w:p w14:paraId="414B95B1" w14:textId="22124368" w:rsidR="00AA375F" w:rsidRPr="00DD6488" w:rsidRDefault="00AA375F" w:rsidP="00AA375F">
      <w:pPr>
        <w:pStyle w:val="ListParagraph"/>
        <w:numPr>
          <w:ilvl w:val="0"/>
          <w:numId w:val="4"/>
        </w:numPr>
        <w:spacing w:line="276" w:lineRule="auto"/>
        <w:jc w:val="both"/>
        <w:rPr>
          <w:rFonts w:ascii="Times New Roman" w:hAnsi="Times New Roman"/>
          <w:sz w:val="24"/>
          <w:szCs w:val="24"/>
        </w:rPr>
      </w:pPr>
      <w:r w:rsidRPr="00DD6488">
        <w:rPr>
          <w:rFonts w:ascii="Times New Roman" w:hAnsi="Times New Roman"/>
          <w:i/>
          <w:iCs/>
          <w:sz w:val="24"/>
          <w:szCs w:val="24"/>
        </w:rPr>
        <w:lastRenderedPageBreak/>
        <w:t xml:space="preserve">sesizările </w:t>
      </w:r>
      <w:bookmarkStart w:id="1" w:name="_Hlk56878045"/>
      <w:r w:rsidRPr="00DD6488">
        <w:rPr>
          <w:rFonts w:ascii="Times New Roman" w:hAnsi="Times New Roman"/>
          <w:i/>
          <w:iCs/>
          <w:sz w:val="24"/>
          <w:szCs w:val="24"/>
        </w:rPr>
        <w:t>privind schimbarea jurispruden</w:t>
      </w:r>
      <w:r w:rsidR="00142D11">
        <w:rPr>
          <w:rFonts w:ascii="Times New Roman" w:hAnsi="Times New Roman"/>
          <w:i/>
          <w:iCs/>
          <w:sz w:val="24"/>
          <w:szCs w:val="24"/>
        </w:rPr>
        <w:t>ț</w:t>
      </w:r>
      <w:r w:rsidRPr="00DD6488">
        <w:rPr>
          <w:rFonts w:ascii="Times New Roman" w:hAnsi="Times New Roman"/>
          <w:i/>
          <w:iCs/>
          <w:sz w:val="24"/>
          <w:szCs w:val="24"/>
        </w:rPr>
        <w:t>ei</w:t>
      </w:r>
      <w:r w:rsidRPr="00DD6488">
        <w:rPr>
          <w:rFonts w:ascii="Times New Roman" w:hAnsi="Times New Roman"/>
          <w:sz w:val="24"/>
          <w:szCs w:val="24"/>
        </w:rPr>
        <w:t xml:space="preserve"> Înaltei Cur</w:t>
      </w:r>
      <w:r w:rsidR="00142D11">
        <w:rPr>
          <w:rFonts w:ascii="Times New Roman" w:hAnsi="Times New Roman"/>
          <w:sz w:val="24"/>
          <w:szCs w:val="24"/>
        </w:rPr>
        <w:t>ț</w:t>
      </w:r>
      <w:r w:rsidRPr="00DD6488">
        <w:rPr>
          <w:rFonts w:ascii="Times New Roman" w:hAnsi="Times New Roman"/>
          <w:sz w:val="24"/>
          <w:szCs w:val="24"/>
        </w:rPr>
        <w:t>i de Casa</w:t>
      </w:r>
      <w:r w:rsidR="00142D11">
        <w:rPr>
          <w:rFonts w:ascii="Times New Roman" w:hAnsi="Times New Roman"/>
          <w:sz w:val="24"/>
          <w:szCs w:val="24"/>
        </w:rPr>
        <w:t>ț</w:t>
      </w:r>
      <w:r w:rsidRPr="00DD6488">
        <w:rPr>
          <w:rFonts w:ascii="Times New Roman" w:hAnsi="Times New Roman"/>
          <w:sz w:val="24"/>
          <w:szCs w:val="24"/>
        </w:rPr>
        <w:t xml:space="preserve">ie </w:t>
      </w:r>
      <w:r w:rsidR="00142D11">
        <w:rPr>
          <w:rFonts w:ascii="Times New Roman" w:hAnsi="Times New Roman"/>
          <w:sz w:val="24"/>
          <w:szCs w:val="24"/>
        </w:rPr>
        <w:t>ș</w:t>
      </w:r>
      <w:r w:rsidRPr="00DD6488">
        <w:rPr>
          <w:rFonts w:ascii="Times New Roman" w:hAnsi="Times New Roman"/>
          <w:sz w:val="24"/>
          <w:szCs w:val="24"/>
        </w:rPr>
        <w:t>i Justi</w:t>
      </w:r>
      <w:r w:rsidR="00142D11">
        <w:rPr>
          <w:rFonts w:ascii="Times New Roman" w:hAnsi="Times New Roman"/>
          <w:sz w:val="24"/>
          <w:szCs w:val="24"/>
        </w:rPr>
        <w:t>ț</w:t>
      </w:r>
      <w:r w:rsidRPr="00DD6488">
        <w:rPr>
          <w:rFonts w:ascii="Times New Roman" w:hAnsi="Times New Roman"/>
          <w:sz w:val="24"/>
          <w:szCs w:val="24"/>
        </w:rPr>
        <w:t xml:space="preserve">ie </w:t>
      </w:r>
      <w:r w:rsidR="00142D11">
        <w:rPr>
          <w:rFonts w:ascii="Times New Roman" w:hAnsi="Times New Roman"/>
          <w:sz w:val="24"/>
          <w:szCs w:val="24"/>
        </w:rPr>
        <w:t>ș</w:t>
      </w:r>
      <w:r w:rsidRPr="00DD6488">
        <w:rPr>
          <w:rFonts w:ascii="Times New Roman" w:hAnsi="Times New Roman"/>
          <w:sz w:val="24"/>
          <w:szCs w:val="24"/>
        </w:rPr>
        <w:t xml:space="preserve">i </w:t>
      </w:r>
      <w:r w:rsidRPr="00DD6488">
        <w:rPr>
          <w:rFonts w:ascii="Times New Roman" w:hAnsi="Times New Roman"/>
          <w:i/>
          <w:iCs/>
          <w:sz w:val="24"/>
          <w:szCs w:val="24"/>
        </w:rPr>
        <w:t>sesizarea Cur</w:t>
      </w:r>
      <w:r w:rsidR="00142D11">
        <w:rPr>
          <w:rFonts w:ascii="Times New Roman" w:hAnsi="Times New Roman"/>
          <w:i/>
          <w:iCs/>
          <w:sz w:val="24"/>
          <w:szCs w:val="24"/>
        </w:rPr>
        <w:t>ț</w:t>
      </w:r>
      <w:r w:rsidRPr="00DD6488">
        <w:rPr>
          <w:rFonts w:ascii="Times New Roman" w:hAnsi="Times New Roman"/>
          <w:i/>
          <w:iCs/>
          <w:sz w:val="24"/>
          <w:szCs w:val="24"/>
        </w:rPr>
        <w:t>ii Constitu</w:t>
      </w:r>
      <w:r w:rsidR="00142D11">
        <w:rPr>
          <w:rFonts w:ascii="Times New Roman" w:hAnsi="Times New Roman"/>
          <w:i/>
          <w:iCs/>
          <w:sz w:val="24"/>
          <w:szCs w:val="24"/>
        </w:rPr>
        <w:t>ț</w:t>
      </w:r>
      <w:r w:rsidRPr="00DD6488">
        <w:rPr>
          <w:rFonts w:ascii="Times New Roman" w:hAnsi="Times New Roman"/>
          <w:i/>
          <w:iCs/>
          <w:sz w:val="24"/>
          <w:szCs w:val="24"/>
        </w:rPr>
        <w:t>ionale</w:t>
      </w:r>
      <w:r w:rsidRPr="00DD6488">
        <w:rPr>
          <w:rFonts w:ascii="Times New Roman" w:hAnsi="Times New Roman"/>
          <w:sz w:val="24"/>
          <w:szCs w:val="24"/>
        </w:rPr>
        <w:t xml:space="preserve"> pentru controlul constitu</w:t>
      </w:r>
      <w:r w:rsidR="00142D11">
        <w:rPr>
          <w:rFonts w:ascii="Times New Roman" w:hAnsi="Times New Roman"/>
          <w:sz w:val="24"/>
          <w:szCs w:val="24"/>
        </w:rPr>
        <w:t>ț</w:t>
      </w:r>
      <w:r w:rsidRPr="00DD6488">
        <w:rPr>
          <w:rFonts w:ascii="Times New Roman" w:hAnsi="Times New Roman"/>
          <w:sz w:val="24"/>
          <w:szCs w:val="24"/>
        </w:rPr>
        <w:t>ionalită</w:t>
      </w:r>
      <w:r w:rsidR="00142D11">
        <w:rPr>
          <w:rFonts w:ascii="Times New Roman" w:hAnsi="Times New Roman"/>
          <w:sz w:val="24"/>
          <w:szCs w:val="24"/>
        </w:rPr>
        <w:t>ț</w:t>
      </w:r>
      <w:r w:rsidRPr="00DD6488">
        <w:rPr>
          <w:rFonts w:ascii="Times New Roman" w:hAnsi="Times New Roman"/>
          <w:sz w:val="24"/>
          <w:szCs w:val="24"/>
        </w:rPr>
        <w:t>ii legilor înainte de promulgare</w:t>
      </w:r>
      <w:bookmarkEnd w:id="1"/>
      <w:r w:rsidRPr="00DD6488">
        <w:rPr>
          <w:rFonts w:ascii="Times New Roman" w:hAnsi="Times New Roman"/>
          <w:sz w:val="24"/>
          <w:szCs w:val="24"/>
        </w:rPr>
        <w:t xml:space="preserve"> (art. 25 din Legea nr. 304/2004 – competen</w:t>
      </w:r>
      <w:r w:rsidR="00142D11">
        <w:rPr>
          <w:rFonts w:ascii="Times New Roman" w:hAnsi="Times New Roman"/>
          <w:sz w:val="24"/>
          <w:szCs w:val="24"/>
        </w:rPr>
        <w:t>ț</w:t>
      </w:r>
      <w:r w:rsidRPr="00DD6488">
        <w:rPr>
          <w:rFonts w:ascii="Times New Roman" w:hAnsi="Times New Roman"/>
          <w:sz w:val="24"/>
          <w:szCs w:val="24"/>
        </w:rPr>
        <w:t>a Sec</w:t>
      </w:r>
      <w:r w:rsidR="00142D11">
        <w:rPr>
          <w:rFonts w:ascii="Times New Roman" w:hAnsi="Times New Roman"/>
          <w:sz w:val="24"/>
          <w:szCs w:val="24"/>
        </w:rPr>
        <w:t>ț</w:t>
      </w:r>
      <w:r w:rsidRPr="00DD6488">
        <w:rPr>
          <w:rFonts w:ascii="Times New Roman" w:hAnsi="Times New Roman"/>
          <w:sz w:val="24"/>
          <w:szCs w:val="24"/>
        </w:rPr>
        <w:t>iilor Unite).</w:t>
      </w:r>
    </w:p>
    <w:p w14:paraId="0BBA8544" w14:textId="03536CEE" w:rsidR="00AA375F" w:rsidRPr="00DD6488" w:rsidRDefault="00AA375F" w:rsidP="00AA375F">
      <w:pPr>
        <w:spacing w:line="276" w:lineRule="auto"/>
        <w:ind w:firstLine="360"/>
        <w:jc w:val="both"/>
        <w:rPr>
          <w:rFonts w:ascii="Times New Roman" w:hAnsi="Times New Roman"/>
        </w:rPr>
      </w:pPr>
      <w:r w:rsidRPr="00DD6488">
        <w:rPr>
          <w:rFonts w:ascii="Times New Roman" w:hAnsi="Times New Roman"/>
        </w:rPr>
        <w:t>Din analiza acestor posibile cereri ce intră în competen</w:t>
      </w:r>
      <w:r w:rsidR="00142D11">
        <w:rPr>
          <w:rFonts w:ascii="Times New Roman" w:hAnsi="Times New Roman"/>
        </w:rPr>
        <w:t>ț</w:t>
      </w:r>
      <w:r w:rsidRPr="00DD6488">
        <w:rPr>
          <w:rFonts w:ascii="Times New Roman" w:hAnsi="Times New Roman"/>
        </w:rPr>
        <w:t>a Sec</w:t>
      </w:r>
      <w:r w:rsidR="00142D11">
        <w:rPr>
          <w:rFonts w:ascii="Times New Roman" w:hAnsi="Times New Roman"/>
        </w:rPr>
        <w:t>ț</w:t>
      </w:r>
      <w:r w:rsidRPr="00DD6488">
        <w:rPr>
          <w:rFonts w:ascii="Times New Roman" w:hAnsi="Times New Roman"/>
        </w:rPr>
        <w:t>iei I civile, Sec</w:t>
      </w:r>
      <w:r w:rsidR="00142D11">
        <w:rPr>
          <w:rFonts w:ascii="Times New Roman" w:hAnsi="Times New Roman"/>
        </w:rPr>
        <w:t>ț</w:t>
      </w:r>
      <w:r w:rsidRPr="00DD6488">
        <w:rPr>
          <w:rFonts w:ascii="Times New Roman" w:hAnsi="Times New Roman"/>
        </w:rPr>
        <w:t>iei a II-a civile, Sec</w:t>
      </w:r>
      <w:r w:rsidR="00142D11">
        <w:rPr>
          <w:rFonts w:ascii="Times New Roman" w:hAnsi="Times New Roman"/>
        </w:rPr>
        <w:t>ț</w:t>
      </w:r>
      <w:r w:rsidRPr="00DD6488">
        <w:rPr>
          <w:rFonts w:ascii="Times New Roman" w:hAnsi="Times New Roman"/>
        </w:rPr>
        <w:t xml:space="preserve">iei de contencios administrativ </w:t>
      </w:r>
      <w:r w:rsidR="00142D11">
        <w:rPr>
          <w:rFonts w:ascii="Times New Roman" w:hAnsi="Times New Roman"/>
        </w:rPr>
        <w:t>ș</w:t>
      </w:r>
      <w:r w:rsidRPr="00DD6488">
        <w:rPr>
          <w:rFonts w:ascii="Times New Roman" w:hAnsi="Times New Roman"/>
        </w:rPr>
        <w:t>i fiscal, Completurilor de 5 judecători, cu excep</w:t>
      </w:r>
      <w:r w:rsidR="00142D11">
        <w:rPr>
          <w:rFonts w:ascii="Times New Roman" w:hAnsi="Times New Roman"/>
        </w:rPr>
        <w:t>ț</w:t>
      </w:r>
      <w:r w:rsidRPr="00DD6488">
        <w:rPr>
          <w:rFonts w:ascii="Times New Roman" w:hAnsi="Times New Roman"/>
        </w:rPr>
        <w:t>ia celor formulate în materie penală, sau Sec</w:t>
      </w:r>
      <w:r w:rsidR="00142D11">
        <w:rPr>
          <w:rFonts w:ascii="Times New Roman" w:hAnsi="Times New Roman"/>
        </w:rPr>
        <w:t>ț</w:t>
      </w:r>
      <w:r w:rsidRPr="00DD6488">
        <w:rPr>
          <w:rFonts w:ascii="Times New Roman" w:hAnsi="Times New Roman"/>
        </w:rPr>
        <w:t>iilor Unite ale Înaltei Cur</w:t>
      </w:r>
      <w:r w:rsidR="00142D11">
        <w:rPr>
          <w:rFonts w:ascii="Times New Roman" w:hAnsi="Times New Roman"/>
        </w:rPr>
        <w:t>ț</w:t>
      </w:r>
      <w:r w:rsidRPr="00DD6488">
        <w:rPr>
          <w:rFonts w:ascii="Times New Roman" w:hAnsi="Times New Roman"/>
        </w:rPr>
        <w:t>i de Casa</w:t>
      </w:r>
      <w:r w:rsidR="00142D11">
        <w:rPr>
          <w:rFonts w:ascii="Times New Roman" w:hAnsi="Times New Roman"/>
        </w:rPr>
        <w:t>ț</w:t>
      </w:r>
      <w:r w:rsidRPr="00DD6488">
        <w:rPr>
          <w:rFonts w:ascii="Times New Roman" w:hAnsi="Times New Roman"/>
        </w:rPr>
        <w:t xml:space="preserve">ie </w:t>
      </w:r>
      <w:r w:rsidR="00142D11">
        <w:rPr>
          <w:rFonts w:ascii="Times New Roman" w:hAnsi="Times New Roman"/>
        </w:rPr>
        <w:t>ș</w:t>
      </w:r>
      <w:r w:rsidRPr="00DD6488">
        <w:rPr>
          <w:rFonts w:ascii="Times New Roman" w:hAnsi="Times New Roman"/>
        </w:rPr>
        <w:t>i Justi</w:t>
      </w:r>
      <w:r w:rsidR="00142D11">
        <w:rPr>
          <w:rFonts w:ascii="Times New Roman" w:hAnsi="Times New Roman"/>
        </w:rPr>
        <w:t>ț</w:t>
      </w:r>
      <w:r w:rsidRPr="00DD6488">
        <w:rPr>
          <w:rFonts w:ascii="Times New Roman" w:hAnsi="Times New Roman"/>
        </w:rPr>
        <w:t>ie rezultă următoarele concluzii:</w:t>
      </w:r>
    </w:p>
    <w:p w14:paraId="0D972CA4" w14:textId="20B024EE" w:rsidR="00AA375F" w:rsidRPr="00DD6488" w:rsidRDefault="00AA375F" w:rsidP="00AA375F">
      <w:pPr>
        <w:pStyle w:val="ListParagraph"/>
        <w:numPr>
          <w:ilvl w:val="0"/>
          <w:numId w:val="4"/>
        </w:numPr>
        <w:spacing w:line="276" w:lineRule="auto"/>
        <w:jc w:val="both"/>
        <w:rPr>
          <w:rFonts w:ascii="Times New Roman" w:hAnsi="Times New Roman"/>
          <w:sz w:val="24"/>
          <w:szCs w:val="24"/>
        </w:rPr>
      </w:pPr>
      <w:r w:rsidRPr="00DD6488">
        <w:rPr>
          <w:rFonts w:ascii="Times New Roman" w:hAnsi="Times New Roman"/>
          <w:sz w:val="24"/>
          <w:szCs w:val="24"/>
        </w:rPr>
        <w:t>existen</w:t>
      </w:r>
      <w:r w:rsidR="00142D11">
        <w:rPr>
          <w:rFonts w:ascii="Times New Roman" w:hAnsi="Times New Roman"/>
          <w:sz w:val="24"/>
          <w:szCs w:val="24"/>
        </w:rPr>
        <w:t>ț</w:t>
      </w:r>
      <w:r w:rsidRPr="00DD6488">
        <w:rPr>
          <w:rFonts w:ascii="Times New Roman" w:hAnsi="Times New Roman"/>
          <w:sz w:val="24"/>
          <w:szCs w:val="24"/>
        </w:rPr>
        <w:t xml:space="preserve">a unor cereri </w:t>
      </w:r>
      <w:bookmarkStart w:id="2" w:name="_Hlk56877959"/>
      <w:r w:rsidRPr="00DD6488">
        <w:rPr>
          <w:rFonts w:ascii="Times New Roman" w:hAnsi="Times New Roman"/>
          <w:sz w:val="24"/>
          <w:szCs w:val="24"/>
        </w:rPr>
        <w:t>informe, neinteligibile, vădit nefondate, informe gramatical, etc.</w:t>
      </w:r>
      <w:bookmarkEnd w:id="2"/>
      <w:r w:rsidRPr="00DD6488">
        <w:rPr>
          <w:rFonts w:ascii="Times New Roman" w:hAnsi="Times New Roman"/>
          <w:sz w:val="24"/>
          <w:szCs w:val="24"/>
        </w:rPr>
        <w:t xml:space="preserve"> </w:t>
      </w:r>
      <w:r w:rsidRPr="00DD6488">
        <w:rPr>
          <w:rFonts w:ascii="Times New Roman" w:hAnsi="Times New Roman"/>
          <w:b/>
          <w:bCs/>
          <w:sz w:val="24"/>
          <w:szCs w:val="24"/>
        </w:rPr>
        <w:t>este posibilă în cazul recursurilor în materie civilă, cererilor de strămutare, căilor de atac în materie disciplinară</w:t>
      </w:r>
      <w:r w:rsidRPr="00DD6488">
        <w:rPr>
          <w:rFonts w:ascii="Times New Roman" w:hAnsi="Times New Roman"/>
          <w:sz w:val="24"/>
          <w:szCs w:val="24"/>
        </w:rPr>
        <w:t xml:space="preserve">, ceea ce poate justifica oportunitatea adoptării proiectului legislativ reprezentat de </w:t>
      </w:r>
      <w:proofErr w:type="spellStart"/>
      <w:r w:rsidRPr="00DD6488">
        <w:rPr>
          <w:rFonts w:ascii="Times New Roman" w:hAnsi="Times New Roman"/>
          <w:sz w:val="24"/>
          <w:szCs w:val="24"/>
        </w:rPr>
        <w:t>PLx</w:t>
      </w:r>
      <w:proofErr w:type="spellEnd"/>
      <w:r w:rsidRPr="00DD6488">
        <w:rPr>
          <w:rFonts w:ascii="Times New Roman" w:hAnsi="Times New Roman"/>
          <w:sz w:val="24"/>
          <w:szCs w:val="24"/>
        </w:rPr>
        <w:t>. 676/2020.</w:t>
      </w:r>
    </w:p>
    <w:p w14:paraId="7B98461F" w14:textId="0992FA34" w:rsidR="00AA375F" w:rsidRPr="00DD6488" w:rsidRDefault="00AA375F" w:rsidP="00AA375F">
      <w:pPr>
        <w:pStyle w:val="ListParagraph"/>
        <w:numPr>
          <w:ilvl w:val="0"/>
          <w:numId w:val="4"/>
        </w:numPr>
        <w:spacing w:line="276" w:lineRule="auto"/>
        <w:jc w:val="both"/>
        <w:rPr>
          <w:rFonts w:ascii="Times New Roman" w:hAnsi="Times New Roman"/>
          <w:sz w:val="24"/>
          <w:szCs w:val="24"/>
        </w:rPr>
      </w:pPr>
      <w:r w:rsidRPr="00DD6488">
        <w:rPr>
          <w:rFonts w:ascii="Times New Roman" w:hAnsi="Times New Roman"/>
          <w:sz w:val="24"/>
          <w:szCs w:val="24"/>
        </w:rPr>
        <w:t xml:space="preserve">aceste cereri informe, neinteligibile, vădit nefondate, informe gramatical, etc. </w:t>
      </w:r>
      <w:r w:rsidRPr="00DD6488">
        <w:rPr>
          <w:rFonts w:ascii="Times New Roman" w:hAnsi="Times New Roman"/>
          <w:b/>
          <w:bCs/>
          <w:sz w:val="24"/>
          <w:szCs w:val="24"/>
        </w:rPr>
        <w:t xml:space="preserve">sunt imposibil să apară sau, în opinia noastră, nu cred că au existat în practica judiciară în cazul conflictelor de </w:t>
      </w:r>
      <w:r w:rsidR="00840B29" w:rsidRPr="00DD6488">
        <w:rPr>
          <w:rFonts w:ascii="Times New Roman" w:hAnsi="Times New Roman"/>
          <w:b/>
          <w:bCs/>
          <w:sz w:val="24"/>
          <w:szCs w:val="24"/>
        </w:rPr>
        <w:t>competen</w:t>
      </w:r>
      <w:r w:rsidR="00142D11">
        <w:rPr>
          <w:rFonts w:ascii="Times New Roman" w:hAnsi="Times New Roman"/>
          <w:b/>
          <w:bCs/>
          <w:sz w:val="24"/>
          <w:szCs w:val="24"/>
        </w:rPr>
        <w:t>ț</w:t>
      </w:r>
      <w:r w:rsidR="00840B29" w:rsidRPr="00DD6488">
        <w:rPr>
          <w:rFonts w:ascii="Times New Roman" w:hAnsi="Times New Roman"/>
          <w:b/>
          <w:bCs/>
          <w:sz w:val="24"/>
          <w:szCs w:val="24"/>
        </w:rPr>
        <w:t>ă</w:t>
      </w:r>
      <w:r w:rsidRPr="00DD6488">
        <w:rPr>
          <w:rFonts w:ascii="Times New Roman" w:hAnsi="Times New Roman"/>
          <w:b/>
          <w:bCs/>
          <w:sz w:val="24"/>
          <w:szCs w:val="24"/>
        </w:rPr>
        <w:t>, sesizărilor privind schimbarea jurispruden</w:t>
      </w:r>
      <w:r w:rsidR="00142D11">
        <w:rPr>
          <w:rFonts w:ascii="Times New Roman" w:hAnsi="Times New Roman"/>
          <w:b/>
          <w:bCs/>
          <w:sz w:val="24"/>
          <w:szCs w:val="24"/>
        </w:rPr>
        <w:t>ț</w:t>
      </w:r>
      <w:r w:rsidRPr="00DD6488">
        <w:rPr>
          <w:rFonts w:ascii="Times New Roman" w:hAnsi="Times New Roman"/>
          <w:b/>
          <w:bCs/>
          <w:sz w:val="24"/>
          <w:szCs w:val="24"/>
        </w:rPr>
        <w:t>ei Înaltei Cur</w:t>
      </w:r>
      <w:r w:rsidR="00142D11">
        <w:rPr>
          <w:rFonts w:ascii="Times New Roman" w:hAnsi="Times New Roman"/>
          <w:b/>
          <w:bCs/>
          <w:sz w:val="24"/>
          <w:szCs w:val="24"/>
        </w:rPr>
        <w:t>ț</w:t>
      </w:r>
      <w:r w:rsidRPr="00DD6488">
        <w:rPr>
          <w:rFonts w:ascii="Times New Roman" w:hAnsi="Times New Roman"/>
          <w:b/>
          <w:bCs/>
          <w:sz w:val="24"/>
          <w:szCs w:val="24"/>
        </w:rPr>
        <w:t>i de Casa</w:t>
      </w:r>
      <w:r w:rsidR="00142D11">
        <w:rPr>
          <w:rFonts w:ascii="Times New Roman" w:hAnsi="Times New Roman"/>
          <w:b/>
          <w:bCs/>
          <w:sz w:val="24"/>
          <w:szCs w:val="24"/>
        </w:rPr>
        <w:t>ț</w:t>
      </w:r>
      <w:r w:rsidRPr="00DD6488">
        <w:rPr>
          <w:rFonts w:ascii="Times New Roman" w:hAnsi="Times New Roman"/>
          <w:b/>
          <w:bCs/>
          <w:sz w:val="24"/>
          <w:szCs w:val="24"/>
        </w:rPr>
        <w:t xml:space="preserve">ie </w:t>
      </w:r>
      <w:r w:rsidR="00142D11">
        <w:rPr>
          <w:rFonts w:ascii="Times New Roman" w:hAnsi="Times New Roman"/>
          <w:b/>
          <w:bCs/>
          <w:sz w:val="24"/>
          <w:szCs w:val="24"/>
        </w:rPr>
        <w:t>ș</w:t>
      </w:r>
      <w:r w:rsidRPr="00DD6488">
        <w:rPr>
          <w:rFonts w:ascii="Times New Roman" w:hAnsi="Times New Roman"/>
          <w:b/>
          <w:bCs/>
          <w:sz w:val="24"/>
          <w:szCs w:val="24"/>
        </w:rPr>
        <w:t>i Justi</w:t>
      </w:r>
      <w:r w:rsidR="00142D11">
        <w:rPr>
          <w:rFonts w:ascii="Times New Roman" w:hAnsi="Times New Roman"/>
          <w:b/>
          <w:bCs/>
          <w:sz w:val="24"/>
          <w:szCs w:val="24"/>
        </w:rPr>
        <w:t>ț</w:t>
      </w:r>
      <w:r w:rsidRPr="00DD6488">
        <w:rPr>
          <w:rFonts w:ascii="Times New Roman" w:hAnsi="Times New Roman"/>
          <w:b/>
          <w:bCs/>
          <w:sz w:val="24"/>
          <w:szCs w:val="24"/>
        </w:rPr>
        <w:t xml:space="preserve">ie </w:t>
      </w:r>
      <w:r w:rsidR="00142D11">
        <w:rPr>
          <w:rFonts w:ascii="Times New Roman" w:hAnsi="Times New Roman"/>
          <w:b/>
          <w:bCs/>
          <w:sz w:val="24"/>
          <w:szCs w:val="24"/>
        </w:rPr>
        <w:t>ș</w:t>
      </w:r>
      <w:r w:rsidRPr="00DD6488">
        <w:rPr>
          <w:rFonts w:ascii="Times New Roman" w:hAnsi="Times New Roman"/>
          <w:b/>
          <w:bCs/>
          <w:sz w:val="24"/>
          <w:szCs w:val="24"/>
        </w:rPr>
        <w:t>i sesizarea Cur</w:t>
      </w:r>
      <w:r w:rsidR="00142D11">
        <w:rPr>
          <w:rFonts w:ascii="Times New Roman" w:hAnsi="Times New Roman"/>
          <w:b/>
          <w:bCs/>
          <w:sz w:val="24"/>
          <w:szCs w:val="24"/>
        </w:rPr>
        <w:t>ț</w:t>
      </w:r>
      <w:r w:rsidRPr="00DD6488">
        <w:rPr>
          <w:rFonts w:ascii="Times New Roman" w:hAnsi="Times New Roman"/>
          <w:b/>
          <w:bCs/>
          <w:sz w:val="24"/>
          <w:szCs w:val="24"/>
        </w:rPr>
        <w:t>ii Constitu</w:t>
      </w:r>
      <w:r w:rsidR="00142D11">
        <w:rPr>
          <w:rFonts w:ascii="Times New Roman" w:hAnsi="Times New Roman"/>
          <w:b/>
          <w:bCs/>
          <w:sz w:val="24"/>
          <w:szCs w:val="24"/>
        </w:rPr>
        <w:t>ț</w:t>
      </w:r>
      <w:r w:rsidRPr="00DD6488">
        <w:rPr>
          <w:rFonts w:ascii="Times New Roman" w:hAnsi="Times New Roman"/>
          <w:b/>
          <w:bCs/>
          <w:sz w:val="24"/>
          <w:szCs w:val="24"/>
        </w:rPr>
        <w:t>ionale pentru controlul constitu</w:t>
      </w:r>
      <w:r w:rsidR="00142D11">
        <w:rPr>
          <w:rFonts w:ascii="Times New Roman" w:hAnsi="Times New Roman"/>
          <w:b/>
          <w:bCs/>
          <w:sz w:val="24"/>
          <w:szCs w:val="24"/>
        </w:rPr>
        <w:t>ț</w:t>
      </w:r>
      <w:r w:rsidRPr="00DD6488">
        <w:rPr>
          <w:rFonts w:ascii="Times New Roman" w:hAnsi="Times New Roman"/>
          <w:b/>
          <w:bCs/>
          <w:sz w:val="24"/>
          <w:szCs w:val="24"/>
        </w:rPr>
        <w:t>ionalită</w:t>
      </w:r>
      <w:r w:rsidR="00142D11">
        <w:rPr>
          <w:rFonts w:ascii="Times New Roman" w:hAnsi="Times New Roman"/>
          <w:b/>
          <w:bCs/>
          <w:sz w:val="24"/>
          <w:szCs w:val="24"/>
        </w:rPr>
        <w:t>ț</w:t>
      </w:r>
      <w:r w:rsidRPr="00DD6488">
        <w:rPr>
          <w:rFonts w:ascii="Times New Roman" w:hAnsi="Times New Roman"/>
          <w:b/>
          <w:bCs/>
          <w:sz w:val="24"/>
          <w:szCs w:val="24"/>
        </w:rPr>
        <w:t>ii legilor</w:t>
      </w:r>
      <w:r w:rsidRPr="00DD6488">
        <w:rPr>
          <w:rFonts w:ascii="Times New Roman" w:hAnsi="Times New Roman"/>
          <w:sz w:val="24"/>
          <w:szCs w:val="24"/>
        </w:rPr>
        <w:t xml:space="preserve"> înainte de promulgare, ceea ce ar determina o revizuire a textului propunerii legislative. În acest sens considerăm că ar trebui avute în vedere cererile pe care păr</w:t>
      </w:r>
      <w:r w:rsidR="00142D11">
        <w:rPr>
          <w:rFonts w:ascii="Times New Roman" w:hAnsi="Times New Roman"/>
          <w:sz w:val="24"/>
          <w:szCs w:val="24"/>
        </w:rPr>
        <w:t>ț</w:t>
      </w:r>
      <w:r w:rsidRPr="00DD6488">
        <w:rPr>
          <w:rFonts w:ascii="Times New Roman" w:hAnsi="Times New Roman"/>
          <w:sz w:val="24"/>
          <w:szCs w:val="24"/>
        </w:rPr>
        <w:t>ile le pot adresa acestor Sec</w:t>
      </w:r>
      <w:r w:rsidR="00142D11">
        <w:rPr>
          <w:rFonts w:ascii="Times New Roman" w:hAnsi="Times New Roman"/>
          <w:sz w:val="24"/>
          <w:szCs w:val="24"/>
        </w:rPr>
        <w:t>ț</w:t>
      </w:r>
      <w:r w:rsidRPr="00DD6488">
        <w:rPr>
          <w:rFonts w:ascii="Times New Roman" w:hAnsi="Times New Roman"/>
          <w:sz w:val="24"/>
          <w:szCs w:val="24"/>
        </w:rPr>
        <w:t xml:space="preserve">ii ale ÎCCJ </w:t>
      </w:r>
      <w:r w:rsidR="00142D11">
        <w:rPr>
          <w:rFonts w:ascii="Times New Roman" w:hAnsi="Times New Roman"/>
          <w:sz w:val="24"/>
          <w:szCs w:val="24"/>
        </w:rPr>
        <w:t>ș</w:t>
      </w:r>
      <w:r w:rsidRPr="00DD6488">
        <w:rPr>
          <w:rFonts w:ascii="Times New Roman" w:hAnsi="Times New Roman"/>
          <w:sz w:val="24"/>
          <w:szCs w:val="24"/>
        </w:rPr>
        <w:t xml:space="preserve">i nu orice cereri care ar intra în </w:t>
      </w:r>
      <w:r w:rsidR="00840B29" w:rsidRPr="00DD6488">
        <w:rPr>
          <w:rFonts w:ascii="Times New Roman" w:hAnsi="Times New Roman"/>
          <w:sz w:val="24"/>
          <w:szCs w:val="24"/>
        </w:rPr>
        <w:t>competen</w:t>
      </w:r>
      <w:r w:rsidR="00142D11">
        <w:rPr>
          <w:rFonts w:ascii="Times New Roman" w:hAnsi="Times New Roman"/>
          <w:sz w:val="24"/>
          <w:szCs w:val="24"/>
        </w:rPr>
        <w:t>ț</w:t>
      </w:r>
      <w:r w:rsidR="00840B29" w:rsidRPr="00DD6488">
        <w:rPr>
          <w:rFonts w:ascii="Times New Roman" w:hAnsi="Times New Roman"/>
          <w:sz w:val="24"/>
          <w:szCs w:val="24"/>
        </w:rPr>
        <w:t>a</w:t>
      </w:r>
      <w:r w:rsidRPr="00DD6488">
        <w:rPr>
          <w:rFonts w:ascii="Times New Roman" w:hAnsi="Times New Roman"/>
          <w:sz w:val="24"/>
          <w:szCs w:val="24"/>
        </w:rPr>
        <w:t xml:space="preserve"> acestora (expresia propusă „cereri înaintate” ar putea fi înlocuită cu expresia „cereri înainte de </w:t>
      </w:r>
      <w:r w:rsidR="00840B29" w:rsidRPr="00DD6488">
        <w:rPr>
          <w:rFonts w:ascii="Times New Roman" w:hAnsi="Times New Roman"/>
          <w:sz w:val="24"/>
          <w:szCs w:val="24"/>
        </w:rPr>
        <w:t>pâr</w:t>
      </w:r>
      <w:r w:rsidR="00142D11">
        <w:rPr>
          <w:rFonts w:ascii="Times New Roman" w:hAnsi="Times New Roman"/>
          <w:sz w:val="24"/>
          <w:szCs w:val="24"/>
        </w:rPr>
        <w:t>ț</w:t>
      </w:r>
      <w:r w:rsidR="00840B29" w:rsidRPr="00DD6488">
        <w:rPr>
          <w:rFonts w:ascii="Times New Roman" w:hAnsi="Times New Roman"/>
          <w:sz w:val="24"/>
          <w:szCs w:val="24"/>
        </w:rPr>
        <w:t>i</w:t>
      </w:r>
      <w:r w:rsidRPr="00DD6488">
        <w:rPr>
          <w:rFonts w:ascii="Times New Roman" w:hAnsi="Times New Roman"/>
          <w:sz w:val="24"/>
          <w:szCs w:val="24"/>
        </w:rPr>
        <w:t>” pentru rigoarea textului legislativ).</w:t>
      </w:r>
    </w:p>
    <w:p w14:paraId="1BC71C75" w14:textId="3656255F" w:rsidR="00AA375F" w:rsidRPr="00DD6488" w:rsidRDefault="00486CBE" w:rsidP="00AA375F">
      <w:pPr>
        <w:spacing w:line="276" w:lineRule="auto"/>
        <w:ind w:firstLine="360"/>
        <w:jc w:val="both"/>
        <w:rPr>
          <w:rFonts w:ascii="Times New Roman" w:hAnsi="Times New Roman"/>
        </w:rPr>
      </w:pPr>
      <w:r w:rsidRPr="00DD6488">
        <w:rPr>
          <w:rFonts w:ascii="Times New Roman" w:hAnsi="Times New Roman"/>
          <w:b/>
          <w:bCs/>
        </w:rPr>
        <w:t>N</w:t>
      </w:r>
      <w:r w:rsidR="00AA375F" w:rsidRPr="00DD6488">
        <w:rPr>
          <w:rFonts w:ascii="Times New Roman" w:hAnsi="Times New Roman"/>
          <w:b/>
          <w:bCs/>
        </w:rPr>
        <w:t>u este foarte clar</w:t>
      </w:r>
      <w:r w:rsidR="00AA375F" w:rsidRPr="00DD6488">
        <w:rPr>
          <w:rFonts w:ascii="Times New Roman" w:hAnsi="Times New Roman"/>
        </w:rPr>
        <w:t xml:space="preserve"> dacă termenul de „cereri” se referă la </w:t>
      </w:r>
      <w:r w:rsidR="00AA375F" w:rsidRPr="00DD6488">
        <w:rPr>
          <w:rFonts w:ascii="Times New Roman" w:hAnsi="Times New Roman"/>
          <w:i/>
          <w:iCs/>
        </w:rPr>
        <w:t>cereri introductive, peti</w:t>
      </w:r>
      <w:r w:rsidR="00142D11">
        <w:rPr>
          <w:rFonts w:ascii="Times New Roman" w:hAnsi="Times New Roman"/>
          <w:i/>
          <w:iCs/>
        </w:rPr>
        <w:t>ț</w:t>
      </w:r>
      <w:r w:rsidR="00AA375F" w:rsidRPr="00DD6488">
        <w:rPr>
          <w:rFonts w:ascii="Times New Roman" w:hAnsi="Times New Roman"/>
          <w:i/>
          <w:iCs/>
        </w:rPr>
        <w:t>ii sau de sesizare</w:t>
      </w:r>
      <w:r w:rsidR="00AA375F" w:rsidRPr="00DD6488">
        <w:rPr>
          <w:rFonts w:ascii="Times New Roman" w:hAnsi="Times New Roman"/>
        </w:rPr>
        <w:t xml:space="preserve"> (pu</w:t>
      </w:r>
      <w:r w:rsidR="00142D11">
        <w:rPr>
          <w:rFonts w:ascii="Times New Roman" w:hAnsi="Times New Roman"/>
        </w:rPr>
        <w:t>ț</w:t>
      </w:r>
      <w:r w:rsidR="00AA375F" w:rsidRPr="00DD6488">
        <w:rPr>
          <w:rFonts w:ascii="Times New Roman" w:hAnsi="Times New Roman"/>
        </w:rPr>
        <w:t>in probabil de a exista la nivelul ÎCCJ, având în vedere că aceasta nu judecă, în materie civilă, în primă instan</w:t>
      </w:r>
      <w:r w:rsidR="00142D11">
        <w:rPr>
          <w:rFonts w:ascii="Times New Roman" w:hAnsi="Times New Roman"/>
        </w:rPr>
        <w:t>ț</w:t>
      </w:r>
      <w:r w:rsidR="00AA375F" w:rsidRPr="00DD6488">
        <w:rPr>
          <w:rFonts w:ascii="Times New Roman" w:hAnsi="Times New Roman"/>
        </w:rPr>
        <w:t xml:space="preserve">ă) sau la </w:t>
      </w:r>
      <w:r w:rsidR="00AA375F" w:rsidRPr="00DD6488">
        <w:rPr>
          <w:rFonts w:ascii="Times New Roman" w:hAnsi="Times New Roman"/>
          <w:i/>
          <w:iCs/>
        </w:rPr>
        <w:t>cereri privitoare la căi de atac</w:t>
      </w:r>
      <w:r w:rsidR="00AA375F" w:rsidRPr="00DD6488">
        <w:rPr>
          <w:rFonts w:ascii="Times New Roman" w:hAnsi="Times New Roman"/>
        </w:rPr>
        <w:t xml:space="preserve"> (recurs, revizuire, contesta</w:t>
      </w:r>
      <w:r w:rsidR="00142D11">
        <w:rPr>
          <w:rFonts w:ascii="Times New Roman" w:hAnsi="Times New Roman"/>
        </w:rPr>
        <w:t>ț</w:t>
      </w:r>
      <w:r w:rsidR="00AA375F" w:rsidRPr="00DD6488">
        <w:rPr>
          <w:rFonts w:ascii="Times New Roman" w:hAnsi="Times New Roman"/>
        </w:rPr>
        <w:t>ie în anulare.)</w:t>
      </w:r>
    </w:p>
    <w:p w14:paraId="409B7E75" w14:textId="2235DBD6" w:rsidR="00AA375F" w:rsidRPr="00DD6488" w:rsidRDefault="00AA375F" w:rsidP="00AA375F">
      <w:pPr>
        <w:spacing w:line="276" w:lineRule="auto"/>
        <w:ind w:firstLine="360"/>
        <w:jc w:val="both"/>
        <w:rPr>
          <w:rFonts w:ascii="Times New Roman" w:hAnsi="Times New Roman"/>
        </w:rPr>
      </w:pPr>
      <w:r w:rsidRPr="00DD6488">
        <w:rPr>
          <w:rFonts w:ascii="Times New Roman" w:hAnsi="Times New Roman"/>
        </w:rPr>
        <w:t xml:space="preserve">Atât din analiza art. I, cât </w:t>
      </w:r>
      <w:r w:rsidR="00142D11">
        <w:rPr>
          <w:rFonts w:ascii="Times New Roman" w:hAnsi="Times New Roman"/>
        </w:rPr>
        <w:t>ș</w:t>
      </w:r>
      <w:r w:rsidRPr="00DD6488">
        <w:rPr>
          <w:rFonts w:ascii="Times New Roman" w:hAnsi="Times New Roman"/>
        </w:rPr>
        <w:t xml:space="preserve">i art. II din </w:t>
      </w:r>
      <w:proofErr w:type="spellStart"/>
      <w:r w:rsidRPr="00DD6488">
        <w:rPr>
          <w:rFonts w:ascii="Times New Roman" w:hAnsi="Times New Roman"/>
        </w:rPr>
        <w:t>PLx</w:t>
      </w:r>
      <w:proofErr w:type="spellEnd"/>
      <w:r w:rsidRPr="00DD6488">
        <w:rPr>
          <w:rFonts w:ascii="Times New Roman" w:hAnsi="Times New Roman"/>
        </w:rPr>
        <w:t xml:space="preserve">. 676/2020 rezultă </w:t>
      </w:r>
      <w:r w:rsidRPr="00DD6488">
        <w:rPr>
          <w:rFonts w:ascii="Times New Roman" w:hAnsi="Times New Roman"/>
          <w:b/>
          <w:bCs/>
        </w:rPr>
        <w:t>că se consacră o nouă formă de respingerea a unei cereri</w:t>
      </w:r>
      <w:r w:rsidRPr="00DD6488">
        <w:rPr>
          <w:rFonts w:ascii="Times New Roman" w:hAnsi="Times New Roman"/>
        </w:rPr>
        <w:t xml:space="preserve">, forma care nu exista în conceptele procesului civil, fiind similară fazei urmării penale: </w:t>
      </w:r>
      <w:r w:rsidRPr="00DD6488">
        <w:rPr>
          <w:rFonts w:ascii="Times New Roman" w:hAnsi="Times New Roman"/>
          <w:b/>
          <w:bCs/>
        </w:rPr>
        <w:t>„clasarea”</w:t>
      </w:r>
      <w:r w:rsidRPr="00DD6488">
        <w:rPr>
          <w:rFonts w:ascii="Times New Roman" w:hAnsi="Times New Roman"/>
        </w:rPr>
        <w:t xml:space="preserve"> atât a cererii, cât </w:t>
      </w:r>
      <w:r w:rsidR="00142D11">
        <w:rPr>
          <w:rFonts w:ascii="Times New Roman" w:hAnsi="Times New Roman"/>
        </w:rPr>
        <w:t>ș</w:t>
      </w:r>
      <w:r w:rsidRPr="00DD6488">
        <w:rPr>
          <w:rFonts w:ascii="Times New Roman" w:hAnsi="Times New Roman"/>
        </w:rPr>
        <w:t>i a căii de atac. Având în vedere că solu</w:t>
      </w:r>
      <w:r w:rsidR="00142D11">
        <w:rPr>
          <w:rFonts w:ascii="Times New Roman" w:hAnsi="Times New Roman"/>
        </w:rPr>
        <w:t>ț</w:t>
      </w:r>
      <w:r w:rsidRPr="00DD6488">
        <w:rPr>
          <w:rFonts w:ascii="Times New Roman" w:hAnsi="Times New Roman"/>
        </w:rPr>
        <w:t xml:space="preserve">ia de clasare este consacrată la nivelul unei faze a procesului penal (urmărirea penală </w:t>
      </w:r>
      <w:r w:rsidR="00142D11">
        <w:rPr>
          <w:rFonts w:ascii="Times New Roman" w:hAnsi="Times New Roman"/>
        </w:rPr>
        <w:t>ș</w:t>
      </w:r>
      <w:r w:rsidRPr="00DD6488">
        <w:rPr>
          <w:rFonts w:ascii="Times New Roman" w:hAnsi="Times New Roman"/>
        </w:rPr>
        <w:t>i nu pentru faza judecă</w:t>
      </w:r>
      <w:r w:rsidR="00142D11">
        <w:rPr>
          <w:rFonts w:ascii="Times New Roman" w:hAnsi="Times New Roman"/>
        </w:rPr>
        <w:t>ț</w:t>
      </w:r>
      <w:r w:rsidRPr="00DD6488">
        <w:rPr>
          <w:rFonts w:ascii="Times New Roman" w:hAnsi="Times New Roman"/>
        </w:rPr>
        <w:t>ii penale unde există achitarea), poate s-ar impune ca solu</w:t>
      </w:r>
      <w:r w:rsidR="00142D11">
        <w:rPr>
          <w:rFonts w:ascii="Times New Roman" w:hAnsi="Times New Roman"/>
        </w:rPr>
        <w:t>ț</w:t>
      </w:r>
      <w:r w:rsidRPr="00DD6488">
        <w:rPr>
          <w:rFonts w:ascii="Times New Roman" w:hAnsi="Times New Roman"/>
        </w:rPr>
        <w:t xml:space="preserve">ia legislativă să fie </w:t>
      </w:r>
      <w:r w:rsidR="00486CBE" w:rsidRPr="00DD6488">
        <w:rPr>
          <w:rFonts w:ascii="Times New Roman" w:hAnsi="Times New Roman"/>
        </w:rPr>
        <w:t xml:space="preserve">reprezentata de  un </w:t>
      </w:r>
      <w:r w:rsidRPr="00DD6488">
        <w:rPr>
          <w:rFonts w:ascii="Times New Roman" w:hAnsi="Times New Roman"/>
        </w:rPr>
        <w:t>„fi</w:t>
      </w:r>
      <w:r w:rsidR="00486CBE" w:rsidRPr="00DD6488">
        <w:rPr>
          <w:rFonts w:ascii="Times New Roman" w:hAnsi="Times New Roman"/>
        </w:rPr>
        <w:t>ne</w:t>
      </w:r>
      <w:r w:rsidRPr="00DD6488">
        <w:rPr>
          <w:rFonts w:ascii="Times New Roman" w:hAnsi="Times New Roman"/>
        </w:rPr>
        <w:t xml:space="preserve"> de neprimire” sau eventual, nulitatea unor asemenea cereri</w:t>
      </w:r>
      <w:r w:rsidRPr="00DD6488">
        <w:rPr>
          <w:rStyle w:val="FootnoteReference"/>
          <w:rFonts w:ascii="Times New Roman" w:hAnsi="Times New Roman"/>
        </w:rPr>
        <w:footnoteReference w:id="1"/>
      </w:r>
      <w:r w:rsidRPr="00DD6488">
        <w:rPr>
          <w:rFonts w:ascii="Times New Roman" w:hAnsi="Times New Roman"/>
        </w:rPr>
        <w:t>.</w:t>
      </w:r>
    </w:p>
    <w:p w14:paraId="284F330F" w14:textId="68467DCD" w:rsidR="00AA375F" w:rsidRPr="00DD6488" w:rsidRDefault="00AA375F" w:rsidP="00AA375F">
      <w:pPr>
        <w:spacing w:line="276" w:lineRule="auto"/>
        <w:jc w:val="both"/>
        <w:rPr>
          <w:rFonts w:ascii="Times New Roman" w:hAnsi="Times New Roman"/>
          <w:i/>
          <w:iCs/>
        </w:rPr>
      </w:pPr>
      <w:r w:rsidRPr="00DD6488">
        <w:rPr>
          <w:rFonts w:ascii="Times New Roman" w:hAnsi="Times New Roman"/>
        </w:rPr>
        <w:tab/>
        <w:t>Din art. 26</w:t>
      </w:r>
      <w:r w:rsidRPr="00DD6488">
        <w:rPr>
          <w:rFonts w:ascii="Times New Roman" w:hAnsi="Times New Roman"/>
          <w:vertAlign w:val="superscript"/>
        </w:rPr>
        <w:t>1</w:t>
      </w:r>
      <w:r w:rsidRPr="00DD6488">
        <w:rPr>
          <w:rFonts w:ascii="Times New Roman" w:hAnsi="Times New Roman"/>
        </w:rPr>
        <w:t xml:space="preserve"> al </w:t>
      </w:r>
      <w:proofErr w:type="spellStart"/>
      <w:r w:rsidRPr="00DD6488">
        <w:rPr>
          <w:rFonts w:ascii="Times New Roman" w:hAnsi="Times New Roman"/>
        </w:rPr>
        <w:t>PLx</w:t>
      </w:r>
      <w:proofErr w:type="spellEnd"/>
      <w:r w:rsidRPr="00DD6488">
        <w:rPr>
          <w:rFonts w:ascii="Times New Roman" w:hAnsi="Times New Roman"/>
        </w:rPr>
        <w:t>. 676/2020, text legal ce se propune a fi inserat în Legea nr. 304/2004 (în materia referitoare la competen</w:t>
      </w:r>
      <w:r w:rsidR="00142D11">
        <w:rPr>
          <w:rFonts w:ascii="Times New Roman" w:hAnsi="Times New Roman"/>
        </w:rPr>
        <w:t>ț</w:t>
      </w:r>
      <w:r w:rsidRPr="00DD6488">
        <w:rPr>
          <w:rFonts w:ascii="Times New Roman" w:hAnsi="Times New Roman"/>
        </w:rPr>
        <w:t>a ÎCCJ), se desprinde ideea că cererile înaintate Sec</w:t>
      </w:r>
      <w:r w:rsidR="00142D11">
        <w:rPr>
          <w:rFonts w:ascii="Times New Roman" w:hAnsi="Times New Roman"/>
        </w:rPr>
        <w:t>ț</w:t>
      </w:r>
      <w:r w:rsidRPr="00DD6488">
        <w:rPr>
          <w:rFonts w:ascii="Times New Roman" w:hAnsi="Times New Roman"/>
        </w:rPr>
        <w:t>iei I civile, Sec</w:t>
      </w:r>
      <w:r w:rsidR="00142D11">
        <w:rPr>
          <w:rFonts w:ascii="Times New Roman" w:hAnsi="Times New Roman"/>
        </w:rPr>
        <w:t>ț</w:t>
      </w:r>
      <w:r w:rsidRPr="00DD6488">
        <w:rPr>
          <w:rFonts w:ascii="Times New Roman" w:hAnsi="Times New Roman"/>
        </w:rPr>
        <w:t>iei a II-a civile, Sec</w:t>
      </w:r>
      <w:r w:rsidR="00142D11">
        <w:rPr>
          <w:rFonts w:ascii="Times New Roman" w:hAnsi="Times New Roman"/>
        </w:rPr>
        <w:t>ț</w:t>
      </w:r>
      <w:r w:rsidRPr="00DD6488">
        <w:rPr>
          <w:rFonts w:ascii="Times New Roman" w:hAnsi="Times New Roman"/>
        </w:rPr>
        <w:t xml:space="preserve">iei de contencios administrativ </w:t>
      </w:r>
      <w:r w:rsidR="00142D11">
        <w:rPr>
          <w:rFonts w:ascii="Times New Roman" w:hAnsi="Times New Roman"/>
        </w:rPr>
        <w:t>ș</w:t>
      </w:r>
      <w:r w:rsidRPr="00DD6488">
        <w:rPr>
          <w:rFonts w:ascii="Times New Roman" w:hAnsi="Times New Roman"/>
        </w:rPr>
        <w:t>i fiscal, Completurilor de 5 judecători, cu excep</w:t>
      </w:r>
      <w:r w:rsidR="00142D11">
        <w:rPr>
          <w:rFonts w:ascii="Times New Roman" w:hAnsi="Times New Roman"/>
        </w:rPr>
        <w:t>ț</w:t>
      </w:r>
      <w:r w:rsidRPr="00DD6488">
        <w:rPr>
          <w:rFonts w:ascii="Times New Roman" w:hAnsi="Times New Roman"/>
        </w:rPr>
        <w:t>ia celor formulate în materie penală, sau Sec</w:t>
      </w:r>
      <w:r w:rsidR="00142D11">
        <w:rPr>
          <w:rFonts w:ascii="Times New Roman" w:hAnsi="Times New Roman"/>
        </w:rPr>
        <w:t>ț</w:t>
      </w:r>
      <w:r w:rsidRPr="00DD6488">
        <w:rPr>
          <w:rFonts w:ascii="Times New Roman" w:hAnsi="Times New Roman"/>
        </w:rPr>
        <w:t>iilor Unite ale Înaltei Cur</w:t>
      </w:r>
      <w:r w:rsidR="00142D11">
        <w:rPr>
          <w:rFonts w:ascii="Times New Roman" w:hAnsi="Times New Roman"/>
        </w:rPr>
        <w:t>ț</w:t>
      </w:r>
      <w:r w:rsidRPr="00DD6488">
        <w:rPr>
          <w:rFonts w:ascii="Times New Roman" w:hAnsi="Times New Roman"/>
        </w:rPr>
        <w:t>i de Casa</w:t>
      </w:r>
      <w:r w:rsidR="00142D11">
        <w:rPr>
          <w:rFonts w:ascii="Times New Roman" w:hAnsi="Times New Roman"/>
        </w:rPr>
        <w:t>ț</w:t>
      </w:r>
      <w:r w:rsidRPr="00DD6488">
        <w:rPr>
          <w:rFonts w:ascii="Times New Roman" w:hAnsi="Times New Roman"/>
        </w:rPr>
        <w:t xml:space="preserve">ie </w:t>
      </w:r>
      <w:r w:rsidR="00142D11">
        <w:rPr>
          <w:rFonts w:ascii="Times New Roman" w:hAnsi="Times New Roman"/>
        </w:rPr>
        <w:t>ș</w:t>
      </w:r>
      <w:r w:rsidRPr="00DD6488">
        <w:rPr>
          <w:rFonts w:ascii="Times New Roman" w:hAnsi="Times New Roman"/>
        </w:rPr>
        <w:t>i Justi</w:t>
      </w:r>
      <w:r w:rsidR="00142D11">
        <w:rPr>
          <w:rFonts w:ascii="Times New Roman" w:hAnsi="Times New Roman"/>
        </w:rPr>
        <w:t>ț</w:t>
      </w:r>
      <w:r w:rsidRPr="00DD6488">
        <w:rPr>
          <w:rFonts w:ascii="Times New Roman" w:hAnsi="Times New Roman"/>
        </w:rPr>
        <w:t>ie, se înregistrează pe rolul instan</w:t>
      </w:r>
      <w:r w:rsidR="00142D11">
        <w:rPr>
          <w:rFonts w:ascii="Times New Roman" w:hAnsi="Times New Roman"/>
        </w:rPr>
        <w:t>ț</w:t>
      </w:r>
      <w:r w:rsidRPr="00DD6488">
        <w:rPr>
          <w:rFonts w:ascii="Times New Roman" w:hAnsi="Times New Roman"/>
        </w:rPr>
        <w:t xml:space="preserve">ei, însă </w:t>
      </w:r>
      <w:r w:rsidRPr="00DD6488">
        <w:rPr>
          <w:rFonts w:ascii="Times New Roman" w:hAnsi="Times New Roman"/>
          <w:b/>
          <w:bCs/>
          <w:i/>
          <w:iCs/>
        </w:rPr>
        <w:t xml:space="preserve">nu se repartizează aleatoriu </w:t>
      </w:r>
      <w:r w:rsidR="00142D11">
        <w:rPr>
          <w:rFonts w:ascii="Times New Roman" w:hAnsi="Times New Roman"/>
          <w:b/>
          <w:bCs/>
          <w:i/>
          <w:iCs/>
        </w:rPr>
        <w:t>ș</w:t>
      </w:r>
      <w:r w:rsidRPr="00DD6488">
        <w:rPr>
          <w:rFonts w:ascii="Times New Roman" w:hAnsi="Times New Roman"/>
          <w:b/>
          <w:bCs/>
          <w:i/>
          <w:iCs/>
        </w:rPr>
        <w:t>i se clasează</w:t>
      </w:r>
      <w:r w:rsidRPr="00DD6488">
        <w:rPr>
          <w:rFonts w:ascii="Times New Roman" w:hAnsi="Times New Roman"/>
        </w:rPr>
        <w:t xml:space="preserve">, dacă: a) sunt </w:t>
      </w:r>
      <w:r w:rsidRPr="00DD6488">
        <w:rPr>
          <w:rFonts w:ascii="Times New Roman" w:hAnsi="Times New Roman"/>
          <w:i/>
          <w:iCs/>
        </w:rPr>
        <w:t>informe</w:t>
      </w:r>
      <w:r w:rsidRPr="00DD6488">
        <w:rPr>
          <w:rFonts w:ascii="Times New Roman" w:hAnsi="Times New Roman"/>
        </w:rPr>
        <w:t xml:space="preserve"> sau au caracter ori con</w:t>
      </w:r>
      <w:r w:rsidR="00142D11">
        <w:rPr>
          <w:rFonts w:ascii="Times New Roman" w:hAnsi="Times New Roman"/>
        </w:rPr>
        <w:t>ț</w:t>
      </w:r>
      <w:r w:rsidRPr="00DD6488">
        <w:rPr>
          <w:rFonts w:ascii="Times New Roman" w:hAnsi="Times New Roman"/>
        </w:rPr>
        <w:t xml:space="preserve">inut </w:t>
      </w:r>
      <w:r w:rsidRPr="00DD6488">
        <w:rPr>
          <w:rFonts w:ascii="Times New Roman" w:hAnsi="Times New Roman"/>
          <w:i/>
          <w:iCs/>
        </w:rPr>
        <w:t xml:space="preserve">vădit </w:t>
      </w:r>
      <w:r w:rsidR="00142D11">
        <w:rPr>
          <w:rFonts w:ascii="Times New Roman" w:hAnsi="Times New Roman"/>
          <w:i/>
          <w:iCs/>
        </w:rPr>
        <w:t>ș</w:t>
      </w:r>
      <w:r w:rsidRPr="00DD6488">
        <w:rPr>
          <w:rFonts w:ascii="Times New Roman" w:hAnsi="Times New Roman"/>
          <w:i/>
          <w:iCs/>
        </w:rPr>
        <w:t>icanator sau denigrator</w:t>
      </w:r>
      <w:r w:rsidRPr="00DD6488">
        <w:rPr>
          <w:rFonts w:ascii="Times New Roman" w:hAnsi="Times New Roman"/>
        </w:rPr>
        <w:t xml:space="preserve">; b) </w:t>
      </w:r>
      <w:r w:rsidRPr="00DD6488">
        <w:rPr>
          <w:rFonts w:ascii="Times New Roman" w:hAnsi="Times New Roman"/>
          <w:i/>
          <w:iCs/>
        </w:rPr>
        <w:t>nu se circumscriu în mod evident competen</w:t>
      </w:r>
      <w:r w:rsidR="00142D11">
        <w:rPr>
          <w:rFonts w:ascii="Times New Roman" w:hAnsi="Times New Roman"/>
          <w:i/>
          <w:iCs/>
        </w:rPr>
        <w:t>ț</w:t>
      </w:r>
      <w:r w:rsidRPr="00DD6488">
        <w:rPr>
          <w:rFonts w:ascii="Times New Roman" w:hAnsi="Times New Roman"/>
          <w:i/>
          <w:iCs/>
        </w:rPr>
        <w:t>ei sec</w:t>
      </w:r>
      <w:r w:rsidR="00142D11">
        <w:rPr>
          <w:rFonts w:ascii="Times New Roman" w:hAnsi="Times New Roman"/>
          <w:i/>
          <w:iCs/>
        </w:rPr>
        <w:t>ț</w:t>
      </w:r>
      <w:r w:rsidRPr="00DD6488">
        <w:rPr>
          <w:rFonts w:ascii="Times New Roman" w:hAnsi="Times New Roman"/>
          <w:i/>
          <w:iCs/>
        </w:rPr>
        <w:t>iei</w:t>
      </w:r>
      <w:r w:rsidRPr="00DD6488">
        <w:rPr>
          <w:rFonts w:ascii="Times New Roman" w:hAnsi="Times New Roman"/>
        </w:rPr>
        <w:t>, completurilor de 5 judecători sau Sec</w:t>
      </w:r>
      <w:r w:rsidR="00142D11">
        <w:rPr>
          <w:rFonts w:ascii="Times New Roman" w:hAnsi="Times New Roman"/>
        </w:rPr>
        <w:t>ț</w:t>
      </w:r>
      <w:r w:rsidRPr="00DD6488">
        <w:rPr>
          <w:rFonts w:ascii="Times New Roman" w:hAnsi="Times New Roman"/>
        </w:rPr>
        <w:t xml:space="preserve">iilor </w:t>
      </w:r>
      <w:r w:rsidRPr="00DD6488">
        <w:rPr>
          <w:rFonts w:ascii="Times New Roman" w:hAnsi="Times New Roman"/>
        </w:rPr>
        <w:lastRenderedPageBreak/>
        <w:t>Unite, astfel cum aceasta este expres reglementată de lege, respectiv, apelurile sau recursurile declarate împotriva hotărârilor în privin</w:t>
      </w:r>
      <w:r w:rsidR="00142D11">
        <w:rPr>
          <w:rFonts w:ascii="Times New Roman" w:hAnsi="Times New Roman"/>
        </w:rPr>
        <w:t>ț</w:t>
      </w:r>
      <w:r w:rsidRPr="00DD6488">
        <w:rPr>
          <w:rFonts w:ascii="Times New Roman" w:hAnsi="Times New Roman"/>
        </w:rPr>
        <w:t xml:space="preserve">a cărora legea prevede expres că </w:t>
      </w:r>
      <w:r w:rsidRPr="00DD6488">
        <w:rPr>
          <w:rFonts w:ascii="Times New Roman" w:hAnsi="Times New Roman"/>
          <w:i/>
          <w:iCs/>
        </w:rPr>
        <w:t>nu sunt supuse unei asemenea căi de atac</w:t>
      </w:r>
      <w:r w:rsidRPr="00DD6488">
        <w:rPr>
          <w:rFonts w:ascii="Times New Roman" w:hAnsi="Times New Roman"/>
        </w:rPr>
        <w:t xml:space="preserve">, recursurile declarate </w:t>
      </w:r>
      <w:r w:rsidRPr="00DD6488">
        <w:rPr>
          <w:rFonts w:ascii="Times New Roman" w:hAnsi="Times New Roman"/>
          <w:i/>
          <w:iCs/>
        </w:rPr>
        <w:t>împotriva hotărârilor definitive</w:t>
      </w:r>
      <w:r w:rsidRPr="00DD6488">
        <w:rPr>
          <w:rFonts w:ascii="Times New Roman" w:hAnsi="Times New Roman"/>
        </w:rPr>
        <w:t xml:space="preserve"> ori căile de atac exercitate împotriva hotărârilor care, în exprimarea legii, </w:t>
      </w:r>
      <w:r w:rsidRPr="00DD6488">
        <w:rPr>
          <w:rFonts w:ascii="Times New Roman" w:hAnsi="Times New Roman"/>
          <w:i/>
          <w:iCs/>
        </w:rPr>
        <w:t xml:space="preserve">sunt date fără cale de atac sau nu supuse niciunei căi de atac; </w:t>
      </w:r>
      <w:r w:rsidRPr="00DD6488">
        <w:rPr>
          <w:rFonts w:ascii="Times New Roman" w:hAnsi="Times New Roman"/>
        </w:rPr>
        <w:t>c) sunt în mod esen</w:t>
      </w:r>
      <w:r w:rsidR="00142D11">
        <w:rPr>
          <w:rFonts w:ascii="Times New Roman" w:hAnsi="Times New Roman"/>
        </w:rPr>
        <w:t>ț</w:t>
      </w:r>
      <w:r w:rsidRPr="00DD6488">
        <w:rPr>
          <w:rFonts w:ascii="Times New Roman" w:hAnsi="Times New Roman"/>
        </w:rPr>
        <w:t xml:space="preserve">ial </w:t>
      </w:r>
      <w:r w:rsidRPr="00DD6488">
        <w:rPr>
          <w:rFonts w:ascii="Times New Roman" w:hAnsi="Times New Roman"/>
          <w:i/>
          <w:iCs/>
        </w:rPr>
        <w:t>identice cu o cerere examinată anterior</w:t>
      </w:r>
      <w:r w:rsidRPr="00DD6488">
        <w:rPr>
          <w:rFonts w:ascii="Times New Roman" w:hAnsi="Times New Roman"/>
        </w:rPr>
        <w:t xml:space="preserve"> </w:t>
      </w:r>
      <w:r w:rsidR="00142D11">
        <w:rPr>
          <w:rFonts w:ascii="Times New Roman" w:hAnsi="Times New Roman"/>
        </w:rPr>
        <w:t>ș</w:t>
      </w:r>
      <w:r w:rsidRPr="00DD6488">
        <w:rPr>
          <w:rFonts w:ascii="Times New Roman" w:hAnsi="Times New Roman"/>
        </w:rPr>
        <w:t>i nu con</w:t>
      </w:r>
      <w:r w:rsidR="00142D11">
        <w:rPr>
          <w:rFonts w:ascii="Times New Roman" w:hAnsi="Times New Roman"/>
        </w:rPr>
        <w:t>ț</w:t>
      </w:r>
      <w:r w:rsidRPr="00DD6488">
        <w:rPr>
          <w:rFonts w:ascii="Times New Roman" w:hAnsi="Times New Roman"/>
        </w:rPr>
        <w:t>in elemente noi fa</w:t>
      </w:r>
      <w:r w:rsidR="00142D11">
        <w:rPr>
          <w:rFonts w:ascii="Times New Roman" w:hAnsi="Times New Roman"/>
        </w:rPr>
        <w:t>ț</w:t>
      </w:r>
      <w:r w:rsidRPr="00DD6488">
        <w:rPr>
          <w:rFonts w:ascii="Times New Roman" w:hAnsi="Times New Roman"/>
        </w:rPr>
        <w:t>ă de cererea anterioară.</w:t>
      </w:r>
    </w:p>
    <w:p w14:paraId="01669727" w14:textId="3E320F7F" w:rsidR="00AA375F" w:rsidRPr="00DD6488" w:rsidRDefault="00AA375F" w:rsidP="00AA375F">
      <w:pPr>
        <w:spacing w:line="276" w:lineRule="auto"/>
        <w:ind w:firstLine="360"/>
        <w:jc w:val="both"/>
        <w:rPr>
          <w:rFonts w:ascii="Times New Roman" w:hAnsi="Times New Roman"/>
          <w:i/>
          <w:iCs/>
        </w:rPr>
      </w:pPr>
      <w:r w:rsidRPr="00DD6488">
        <w:rPr>
          <w:rFonts w:ascii="Times New Roman" w:hAnsi="Times New Roman"/>
        </w:rPr>
        <w:t xml:space="preserve">Din modalitatea de reglementare </w:t>
      </w:r>
      <w:r w:rsidR="00142D11">
        <w:rPr>
          <w:rFonts w:ascii="Times New Roman" w:hAnsi="Times New Roman"/>
        </w:rPr>
        <w:t>ș</w:t>
      </w:r>
      <w:r w:rsidRPr="00DD6488">
        <w:rPr>
          <w:rFonts w:ascii="Times New Roman" w:hAnsi="Times New Roman"/>
        </w:rPr>
        <w:t xml:space="preserve">i finalitatea urmărită rezultă că se instituie, în realitate, un „filtru” la nivelul ÎCCJ cu privire la aceste cereri, chiar dacă cu o sferă de aplicare restrânsă. Procedura filtrului a existat în Noul Cod de procedură civilă, fiind un veritabil mijloc de degrevare a </w:t>
      </w:r>
      <w:r w:rsidR="00840B29" w:rsidRPr="00DD6488">
        <w:rPr>
          <w:rFonts w:ascii="Times New Roman" w:hAnsi="Times New Roman"/>
        </w:rPr>
        <w:t>instan</w:t>
      </w:r>
      <w:r w:rsidR="00142D11">
        <w:rPr>
          <w:rFonts w:ascii="Times New Roman" w:hAnsi="Times New Roman"/>
        </w:rPr>
        <w:t>ț</w:t>
      </w:r>
      <w:r w:rsidR="00840B29" w:rsidRPr="00DD6488">
        <w:rPr>
          <w:rFonts w:ascii="Times New Roman" w:hAnsi="Times New Roman"/>
        </w:rPr>
        <w:t>ei</w:t>
      </w:r>
      <w:r w:rsidRPr="00DD6488">
        <w:rPr>
          <w:rFonts w:ascii="Times New Roman" w:hAnsi="Times New Roman"/>
        </w:rPr>
        <w:t xml:space="preserve"> supreme, model, de altfel, întâlnit în </w:t>
      </w:r>
      <w:r w:rsidR="00840B29" w:rsidRPr="00DD6488">
        <w:rPr>
          <w:rFonts w:ascii="Times New Roman" w:hAnsi="Times New Roman"/>
        </w:rPr>
        <w:t>legisla</w:t>
      </w:r>
      <w:r w:rsidR="00142D11">
        <w:rPr>
          <w:rFonts w:ascii="Times New Roman" w:hAnsi="Times New Roman"/>
        </w:rPr>
        <w:t>ț</w:t>
      </w:r>
      <w:r w:rsidR="00840B29" w:rsidRPr="00DD6488">
        <w:rPr>
          <w:rFonts w:ascii="Times New Roman" w:hAnsi="Times New Roman"/>
        </w:rPr>
        <w:t>ia</w:t>
      </w:r>
      <w:r w:rsidRPr="00DD6488">
        <w:rPr>
          <w:rFonts w:ascii="Times New Roman" w:hAnsi="Times New Roman"/>
        </w:rPr>
        <w:t xml:space="preserve"> multor </w:t>
      </w:r>
      <w:r w:rsidR="00142D11">
        <w:rPr>
          <w:rFonts w:ascii="Times New Roman" w:hAnsi="Times New Roman"/>
        </w:rPr>
        <w:t>ț</w:t>
      </w:r>
      <w:r w:rsidR="00840B29" w:rsidRPr="00DD6488">
        <w:rPr>
          <w:rFonts w:ascii="Times New Roman" w:hAnsi="Times New Roman"/>
        </w:rPr>
        <w:t>âri</w:t>
      </w:r>
      <w:r w:rsidRPr="00DD6488">
        <w:rPr>
          <w:rFonts w:ascii="Times New Roman" w:hAnsi="Times New Roman"/>
        </w:rPr>
        <w:t xml:space="preserve"> europene. Din păcate, ca urmare a intervenirii Cur</w:t>
      </w:r>
      <w:r w:rsidR="00142D11">
        <w:rPr>
          <w:rFonts w:ascii="Times New Roman" w:hAnsi="Times New Roman"/>
        </w:rPr>
        <w:t>ț</w:t>
      </w:r>
      <w:r w:rsidRPr="00DD6488">
        <w:rPr>
          <w:rFonts w:ascii="Times New Roman" w:hAnsi="Times New Roman"/>
        </w:rPr>
        <w:t>ii Constitu</w:t>
      </w:r>
      <w:r w:rsidR="00142D11">
        <w:rPr>
          <w:rFonts w:ascii="Times New Roman" w:hAnsi="Times New Roman"/>
        </w:rPr>
        <w:t>ț</w:t>
      </w:r>
      <w:r w:rsidRPr="00DD6488">
        <w:rPr>
          <w:rFonts w:ascii="Times New Roman" w:hAnsi="Times New Roman"/>
        </w:rPr>
        <w:t xml:space="preserve">ionale cu privire la această procedura a filtrului de la ÎCCJ, art. 493 alin. 5 NCPC a fost abrogat </w:t>
      </w:r>
      <w:r w:rsidR="00142D11">
        <w:rPr>
          <w:rFonts w:ascii="Times New Roman" w:hAnsi="Times New Roman"/>
        </w:rPr>
        <w:t>ș</w:t>
      </w:r>
      <w:r w:rsidRPr="00DD6488">
        <w:rPr>
          <w:rFonts w:ascii="Times New Roman" w:hAnsi="Times New Roman"/>
        </w:rPr>
        <w:t>i ulterior  procedura filtrului,  prin art. I pct. 56 din Legea nr. 310/2018, a fost abrogată. Procedura filtrului, a</w:t>
      </w:r>
      <w:r w:rsidR="00142D11">
        <w:rPr>
          <w:rFonts w:ascii="Times New Roman" w:hAnsi="Times New Roman"/>
        </w:rPr>
        <w:t>ș</w:t>
      </w:r>
      <w:r w:rsidRPr="00DD6488">
        <w:rPr>
          <w:rFonts w:ascii="Times New Roman" w:hAnsi="Times New Roman"/>
        </w:rPr>
        <w:t>a cum a fost ini</w:t>
      </w:r>
      <w:r w:rsidR="00142D11">
        <w:rPr>
          <w:rFonts w:ascii="Times New Roman" w:hAnsi="Times New Roman"/>
        </w:rPr>
        <w:t>ț</w:t>
      </w:r>
      <w:r w:rsidRPr="00DD6488">
        <w:rPr>
          <w:rFonts w:ascii="Times New Roman" w:hAnsi="Times New Roman"/>
        </w:rPr>
        <w:t>ial reglementată în NCPC, a fost considerată neconstitu</w:t>
      </w:r>
      <w:r w:rsidR="00142D11">
        <w:rPr>
          <w:rFonts w:ascii="Times New Roman" w:hAnsi="Times New Roman"/>
        </w:rPr>
        <w:t>ț</w:t>
      </w:r>
      <w:r w:rsidRPr="00DD6488">
        <w:rPr>
          <w:rFonts w:ascii="Times New Roman" w:hAnsi="Times New Roman"/>
        </w:rPr>
        <w:t xml:space="preserve">ională prin Decizia nr. 839/2015 a CCR (Monitorul Oficial, Partea I nr. 69 din 01 februarie 2016), invalidându-se art. 493 alin. 5 NCPC. În acest sens, este util prezentului demers </w:t>
      </w:r>
      <w:r w:rsidR="00840B29" w:rsidRPr="00DD6488">
        <w:rPr>
          <w:rFonts w:ascii="Times New Roman" w:hAnsi="Times New Roman"/>
        </w:rPr>
        <w:t xml:space="preserve">să arătăm </w:t>
      </w:r>
      <w:r w:rsidRPr="00DD6488">
        <w:rPr>
          <w:rFonts w:ascii="Times New Roman" w:hAnsi="Times New Roman"/>
        </w:rPr>
        <w:t>care au fost motivele pentru care CCR a declarat neconstitu</w:t>
      </w:r>
      <w:r w:rsidR="00142D11">
        <w:rPr>
          <w:rFonts w:ascii="Times New Roman" w:hAnsi="Times New Roman"/>
        </w:rPr>
        <w:t>ț</w:t>
      </w:r>
      <w:r w:rsidRPr="00DD6488">
        <w:rPr>
          <w:rFonts w:ascii="Times New Roman" w:hAnsi="Times New Roman"/>
        </w:rPr>
        <w:t xml:space="preserve">ional art. 493 alin. 5 NCPC:  </w:t>
      </w:r>
      <w:r w:rsidRPr="00DD6488">
        <w:rPr>
          <w:rFonts w:ascii="Times New Roman" w:hAnsi="Times New Roman"/>
          <w:i/>
          <w:iCs/>
        </w:rPr>
        <w:t>în privin</w:t>
      </w:r>
      <w:r w:rsidR="00142D11">
        <w:rPr>
          <w:rFonts w:ascii="Times New Roman" w:hAnsi="Times New Roman"/>
          <w:i/>
          <w:iCs/>
        </w:rPr>
        <w:t>ț</w:t>
      </w:r>
      <w:r w:rsidRPr="00DD6488">
        <w:rPr>
          <w:rFonts w:ascii="Times New Roman" w:hAnsi="Times New Roman"/>
          <w:i/>
          <w:iCs/>
        </w:rPr>
        <w:t xml:space="preserve">a caracterului "vădit nefondat", respingerea recursului poate fi făcută doar cu verificarea unor elemente ce vizează fondul cauzei. Or, verificarea fondului cauzei, în scopul aprecierii caracterului vădit nefondat al recursului, presupune verificarea </w:t>
      </w:r>
      <w:r w:rsidR="000D315C" w:rsidRPr="00DD6488">
        <w:rPr>
          <w:rFonts w:ascii="Times New Roman" w:hAnsi="Times New Roman"/>
          <w:i/>
          <w:iCs/>
        </w:rPr>
        <w:t>legalită</w:t>
      </w:r>
      <w:r w:rsidR="00142D11">
        <w:rPr>
          <w:rFonts w:ascii="Times New Roman" w:hAnsi="Times New Roman"/>
          <w:i/>
          <w:iCs/>
        </w:rPr>
        <w:t>ț</w:t>
      </w:r>
      <w:r w:rsidR="000D315C" w:rsidRPr="00DD6488">
        <w:rPr>
          <w:rFonts w:ascii="Times New Roman" w:hAnsi="Times New Roman"/>
          <w:i/>
          <w:iCs/>
        </w:rPr>
        <w:t>ii</w:t>
      </w:r>
      <w:r w:rsidRPr="00DD6488">
        <w:rPr>
          <w:rFonts w:ascii="Times New Roman" w:hAnsi="Times New Roman"/>
          <w:i/>
          <w:iCs/>
        </w:rPr>
        <w:t xml:space="preserve"> hotărârii atacate, completul de filtru fiind obligat să se pronun</w:t>
      </w:r>
      <w:r w:rsidR="00142D11">
        <w:rPr>
          <w:rFonts w:ascii="Times New Roman" w:hAnsi="Times New Roman"/>
          <w:i/>
          <w:iCs/>
        </w:rPr>
        <w:t>ț</w:t>
      </w:r>
      <w:r w:rsidRPr="00DD6488">
        <w:rPr>
          <w:rFonts w:ascii="Times New Roman" w:hAnsi="Times New Roman"/>
          <w:i/>
          <w:iCs/>
        </w:rPr>
        <w:t>e asupra fondului motivelor de casare invocate, ceea ce excedează procedurii admiterii în principiu. Sintagma "vădit nefondat" se situează astfel în sfera fondului cauzei; Curtea re</w:t>
      </w:r>
      <w:r w:rsidR="00142D11">
        <w:rPr>
          <w:rFonts w:ascii="Times New Roman" w:hAnsi="Times New Roman"/>
          <w:i/>
          <w:iCs/>
        </w:rPr>
        <w:t>ț</w:t>
      </w:r>
      <w:r w:rsidRPr="00DD6488">
        <w:rPr>
          <w:rFonts w:ascii="Times New Roman" w:hAnsi="Times New Roman"/>
          <w:i/>
          <w:iCs/>
        </w:rPr>
        <w:t xml:space="preserve">ine că respingerea recursului pentru motivul că este vădit nefondat presupune examinarea în fond a acestuia, implicând analizarea unor aspecte care vizează temeinicia solicitării care face obiectul recursului; or, procedura examinării </w:t>
      </w:r>
      <w:r w:rsidR="000D315C" w:rsidRPr="00DD6488">
        <w:rPr>
          <w:rFonts w:ascii="Times New Roman" w:hAnsi="Times New Roman"/>
          <w:i/>
          <w:iCs/>
        </w:rPr>
        <w:t>admisibilită</w:t>
      </w:r>
      <w:r w:rsidR="00142D11">
        <w:rPr>
          <w:rFonts w:ascii="Times New Roman" w:hAnsi="Times New Roman"/>
          <w:i/>
          <w:iCs/>
        </w:rPr>
        <w:t>ț</w:t>
      </w:r>
      <w:r w:rsidR="000D315C" w:rsidRPr="00DD6488">
        <w:rPr>
          <w:rFonts w:ascii="Times New Roman" w:hAnsi="Times New Roman"/>
          <w:i/>
          <w:iCs/>
        </w:rPr>
        <w:t>ii</w:t>
      </w:r>
      <w:r w:rsidRPr="00DD6488">
        <w:rPr>
          <w:rFonts w:ascii="Times New Roman" w:hAnsi="Times New Roman"/>
          <w:i/>
          <w:iCs/>
        </w:rPr>
        <w:t xml:space="preserve"> recursului trebuie să vizeze doar aspecte pur formale; prin decizia </w:t>
      </w:r>
      <w:r w:rsidR="000D315C" w:rsidRPr="00DD6488">
        <w:rPr>
          <w:rFonts w:ascii="Times New Roman" w:hAnsi="Times New Roman"/>
          <w:i/>
          <w:iCs/>
        </w:rPr>
        <w:t>pronun</w:t>
      </w:r>
      <w:r w:rsidR="00142D11">
        <w:rPr>
          <w:rFonts w:ascii="Times New Roman" w:hAnsi="Times New Roman"/>
          <w:i/>
          <w:iCs/>
        </w:rPr>
        <w:t>ț</w:t>
      </w:r>
      <w:r w:rsidR="000D315C" w:rsidRPr="00DD6488">
        <w:rPr>
          <w:rFonts w:ascii="Times New Roman" w:hAnsi="Times New Roman"/>
          <w:i/>
          <w:iCs/>
        </w:rPr>
        <w:t>ată</w:t>
      </w:r>
      <w:r w:rsidRPr="00DD6488">
        <w:rPr>
          <w:rFonts w:ascii="Times New Roman" w:hAnsi="Times New Roman"/>
          <w:i/>
          <w:iCs/>
        </w:rPr>
        <w:t>, în acest caz, fără citarea păr</w:t>
      </w:r>
      <w:r w:rsidR="00142D11">
        <w:rPr>
          <w:rFonts w:ascii="Times New Roman" w:hAnsi="Times New Roman"/>
          <w:i/>
          <w:iCs/>
        </w:rPr>
        <w:t>ț</w:t>
      </w:r>
      <w:r w:rsidRPr="00DD6488">
        <w:rPr>
          <w:rFonts w:ascii="Times New Roman" w:hAnsi="Times New Roman"/>
          <w:i/>
          <w:iCs/>
        </w:rPr>
        <w:t xml:space="preserve">ilor </w:t>
      </w:r>
      <w:r w:rsidR="00142D11">
        <w:rPr>
          <w:rFonts w:ascii="Times New Roman" w:hAnsi="Times New Roman"/>
          <w:i/>
          <w:iCs/>
        </w:rPr>
        <w:t>ș</w:t>
      </w:r>
      <w:r w:rsidRPr="00DD6488">
        <w:rPr>
          <w:rFonts w:ascii="Times New Roman" w:hAnsi="Times New Roman"/>
          <w:i/>
          <w:iCs/>
        </w:rPr>
        <w:t>i fără posibilitatea exercitării unei căi de atac împotriva ei, Curtea apreciază că păr</w:t>
      </w:r>
      <w:r w:rsidR="00142D11">
        <w:rPr>
          <w:rFonts w:ascii="Times New Roman" w:hAnsi="Times New Roman"/>
          <w:i/>
          <w:iCs/>
        </w:rPr>
        <w:t>ț</w:t>
      </w:r>
      <w:r w:rsidRPr="00DD6488">
        <w:rPr>
          <w:rFonts w:ascii="Times New Roman" w:hAnsi="Times New Roman"/>
          <w:i/>
          <w:iCs/>
        </w:rPr>
        <w:t>ile nu î</w:t>
      </w:r>
      <w:r w:rsidR="00142D11">
        <w:rPr>
          <w:rFonts w:ascii="Times New Roman" w:hAnsi="Times New Roman"/>
          <w:i/>
          <w:iCs/>
        </w:rPr>
        <w:t>ș</w:t>
      </w:r>
      <w:r w:rsidRPr="00DD6488">
        <w:rPr>
          <w:rFonts w:ascii="Times New Roman" w:hAnsi="Times New Roman"/>
          <w:i/>
          <w:iCs/>
        </w:rPr>
        <w:t xml:space="preserve">i pot realiza dreptul la apărare </w:t>
      </w:r>
      <w:r w:rsidR="00142D11">
        <w:rPr>
          <w:rFonts w:ascii="Times New Roman" w:hAnsi="Times New Roman"/>
          <w:i/>
          <w:iCs/>
        </w:rPr>
        <w:t>ș</w:t>
      </w:r>
      <w:r w:rsidRPr="00DD6488">
        <w:rPr>
          <w:rFonts w:ascii="Times New Roman" w:hAnsi="Times New Roman"/>
          <w:i/>
          <w:iCs/>
        </w:rPr>
        <w:t>i la dezbateri contradictorii, fiind încălcat, astfel, dreptul la un proces echitabil. Astfel, jurispruden</w:t>
      </w:r>
      <w:r w:rsidR="00142D11">
        <w:rPr>
          <w:rFonts w:ascii="Times New Roman" w:hAnsi="Times New Roman"/>
          <w:i/>
          <w:iCs/>
        </w:rPr>
        <w:t>ț</w:t>
      </w:r>
      <w:r w:rsidRPr="00DD6488">
        <w:rPr>
          <w:rFonts w:ascii="Times New Roman" w:hAnsi="Times New Roman"/>
          <w:i/>
          <w:iCs/>
        </w:rPr>
        <w:t>a Cur</w:t>
      </w:r>
      <w:r w:rsidR="00142D11">
        <w:rPr>
          <w:rFonts w:ascii="Times New Roman" w:hAnsi="Times New Roman"/>
          <w:i/>
          <w:iCs/>
        </w:rPr>
        <w:t>ț</w:t>
      </w:r>
      <w:r w:rsidRPr="00DD6488">
        <w:rPr>
          <w:rFonts w:ascii="Times New Roman" w:hAnsi="Times New Roman"/>
          <w:i/>
          <w:iCs/>
        </w:rPr>
        <w:t>ii Constitu</w:t>
      </w:r>
      <w:r w:rsidR="00142D11">
        <w:rPr>
          <w:rFonts w:ascii="Times New Roman" w:hAnsi="Times New Roman"/>
          <w:i/>
          <w:iCs/>
        </w:rPr>
        <w:t>ț</w:t>
      </w:r>
      <w:r w:rsidRPr="00DD6488">
        <w:rPr>
          <w:rFonts w:ascii="Times New Roman" w:hAnsi="Times New Roman"/>
          <w:i/>
          <w:iCs/>
        </w:rPr>
        <w:t xml:space="preserve">ionale se plasează pe coordonatele unui </w:t>
      </w:r>
      <w:bookmarkStart w:id="3" w:name="_Hlk56881860"/>
      <w:r w:rsidRPr="00DD6488">
        <w:rPr>
          <w:rFonts w:ascii="Times New Roman" w:hAnsi="Times New Roman"/>
          <w:i/>
          <w:iCs/>
        </w:rPr>
        <w:t>proces guvernat de principiile contradictorialită</w:t>
      </w:r>
      <w:r w:rsidR="00142D11">
        <w:rPr>
          <w:rFonts w:ascii="Times New Roman" w:hAnsi="Times New Roman"/>
          <w:i/>
          <w:iCs/>
        </w:rPr>
        <w:t>ț</w:t>
      </w:r>
      <w:r w:rsidRPr="00DD6488">
        <w:rPr>
          <w:rFonts w:ascii="Times New Roman" w:hAnsi="Times New Roman"/>
          <w:i/>
          <w:iCs/>
        </w:rPr>
        <w:t>ii, al oralită</w:t>
      </w:r>
      <w:r w:rsidR="00142D11">
        <w:rPr>
          <w:rFonts w:ascii="Times New Roman" w:hAnsi="Times New Roman"/>
          <w:i/>
          <w:iCs/>
        </w:rPr>
        <w:t>ț</w:t>
      </w:r>
      <w:r w:rsidRPr="00DD6488">
        <w:rPr>
          <w:rFonts w:ascii="Times New Roman" w:hAnsi="Times New Roman"/>
          <w:i/>
          <w:iCs/>
        </w:rPr>
        <w:t xml:space="preserve">ii procedurii </w:t>
      </w:r>
      <w:r w:rsidR="00142D11">
        <w:rPr>
          <w:rFonts w:ascii="Times New Roman" w:hAnsi="Times New Roman"/>
          <w:i/>
          <w:iCs/>
        </w:rPr>
        <w:t>ș</w:t>
      </w:r>
      <w:r w:rsidRPr="00DD6488">
        <w:rPr>
          <w:rFonts w:ascii="Times New Roman" w:hAnsi="Times New Roman"/>
          <w:i/>
          <w:iCs/>
        </w:rPr>
        <w:t>i al transparen</w:t>
      </w:r>
      <w:r w:rsidR="00142D11">
        <w:rPr>
          <w:rFonts w:ascii="Times New Roman" w:hAnsi="Times New Roman"/>
          <w:i/>
          <w:iCs/>
        </w:rPr>
        <w:t>ț</w:t>
      </w:r>
      <w:r w:rsidRPr="00DD6488">
        <w:rPr>
          <w:rFonts w:ascii="Times New Roman" w:hAnsi="Times New Roman"/>
          <w:i/>
          <w:iCs/>
        </w:rPr>
        <w:t>ei actului de justi</w:t>
      </w:r>
      <w:r w:rsidR="00142D11">
        <w:rPr>
          <w:rFonts w:ascii="Times New Roman" w:hAnsi="Times New Roman"/>
          <w:i/>
          <w:iCs/>
        </w:rPr>
        <w:t>ț</w:t>
      </w:r>
      <w:r w:rsidRPr="00DD6488">
        <w:rPr>
          <w:rFonts w:ascii="Times New Roman" w:hAnsi="Times New Roman"/>
          <w:i/>
          <w:iCs/>
        </w:rPr>
        <w:t>ie, asigurându-se, în acest fel, încrederea cetă</w:t>
      </w:r>
      <w:r w:rsidR="00142D11">
        <w:rPr>
          <w:rFonts w:ascii="Times New Roman" w:hAnsi="Times New Roman"/>
          <w:i/>
          <w:iCs/>
        </w:rPr>
        <w:t>ț</w:t>
      </w:r>
      <w:r w:rsidRPr="00DD6488">
        <w:rPr>
          <w:rFonts w:ascii="Times New Roman" w:hAnsi="Times New Roman"/>
          <w:i/>
          <w:iCs/>
        </w:rPr>
        <w:t>eanului în modul de realizare a acestuia</w:t>
      </w:r>
      <w:bookmarkEnd w:id="3"/>
      <w:r w:rsidRPr="00DD6488">
        <w:rPr>
          <w:rFonts w:ascii="Times New Roman" w:hAnsi="Times New Roman"/>
          <w:i/>
          <w:iCs/>
        </w:rPr>
        <w:t>; justi</w:t>
      </w:r>
      <w:r w:rsidR="00142D11">
        <w:rPr>
          <w:rFonts w:ascii="Times New Roman" w:hAnsi="Times New Roman"/>
          <w:i/>
          <w:iCs/>
        </w:rPr>
        <w:t>ț</w:t>
      </w:r>
      <w:r w:rsidRPr="00DD6488">
        <w:rPr>
          <w:rFonts w:ascii="Times New Roman" w:hAnsi="Times New Roman"/>
          <w:i/>
          <w:iCs/>
        </w:rPr>
        <w:t>ia nu trebuie să fie una ascunsă, secretă, din contră, ea trebuie să asigure participarea efectivă a păr</w:t>
      </w:r>
      <w:r w:rsidR="00142D11">
        <w:rPr>
          <w:rFonts w:ascii="Times New Roman" w:hAnsi="Times New Roman"/>
          <w:i/>
          <w:iCs/>
        </w:rPr>
        <w:t>ț</w:t>
      </w:r>
      <w:r w:rsidRPr="00DD6488">
        <w:rPr>
          <w:rFonts w:ascii="Times New Roman" w:hAnsi="Times New Roman"/>
          <w:i/>
          <w:iCs/>
        </w:rPr>
        <w:t>ilor în vederea realizării în mod plenar a actului de justi</w:t>
      </w:r>
      <w:r w:rsidR="00142D11">
        <w:rPr>
          <w:rFonts w:ascii="Times New Roman" w:hAnsi="Times New Roman"/>
          <w:i/>
          <w:iCs/>
        </w:rPr>
        <w:t>ț</w:t>
      </w:r>
      <w:r w:rsidRPr="00DD6488">
        <w:rPr>
          <w:rFonts w:ascii="Times New Roman" w:hAnsi="Times New Roman"/>
          <w:i/>
          <w:iCs/>
        </w:rPr>
        <w:t>ie. Legiuitorul trebuie să stabilească, desigur, într-un mod restrictiv motivele în temeiul cărora actul de justi</w:t>
      </w:r>
      <w:r w:rsidR="00142D11">
        <w:rPr>
          <w:rFonts w:ascii="Times New Roman" w:hAnsi="Times New Roman"/>
          <w:i/>
          <w:iCs/>
        </w:rPr>
        <w:t>ț</w:t>
      </w:r>
      <w:r w:rsidRPr="00DD6488">
        <w:rPr>
          <w:rFonts w:ascii="Times New Roman" w:hAnsi="Times New Roman"/>
          <w:i/>
          <w:iCs/>
        </w:rPr>
        <w:t>ie s-ar realiza fără participarea păr</w:t>
      </w:r>
      <w:r w:rsidR="00142D11">
        <w:rPr>
          <w:rFonts w:ascii="Times New Roman" w:hAnsi="Times New Roman"/>
          <w:i/>
          <w:iCs/>
        </w:rPr>
        <w:t>ț</w:t>
      </w:r>
      <w:r w:rsidRPr="00DD6488">
        <w:rPr>
          <w:rFonts w:ascii="Times New Roman" w:hAnsi="Times New Roman"/>
          <w:i/>
          <w:iCs/>
        </w:rPr>
        <w:t>ilor, însă atunci când sunt dezbătute chestiuni de fond ale pricinii, acesta nu are îndreptă</w:t>
      </w:r>
      <w:r w:rsidR="00142D11">
        <w:rPr>
          <w:rFonts w:ascii="Times New Roman" w:hAnsi="Times New Roman"/>
          <w:i/>
          <w:iCs/>
        </w:rPr>
        <w:t>ț</w:t>
      </w:r>
      <w:r w:rsidRPr="00DD6488">
        <w:rPr>
          <w:rFonts w:ascii="Times New Roman" w:hAnsi="Times New Roman"/>
          <w:i/>
          <w:iCs/>
        </w:rPr>
        <w:t>irea constitu</w:t>
      </w:r>
      <w:r w:rsidR="00142D11">
        <w:rPr>
          <w:rFonts w:ascii="Times New Roman" w:hAnsi="Times New Roman"/>
          <w:i/>
          <w:iCs/>
        </w:rPr>
        <w:t>ț</w:t>
      </w:r>
      <w:r w:rsidRPr="00DD6488">
        <w:rPr>
          <w:rFonts w:ascii="Times New Roman" w:hAnsi="Times New Roman"/>
          <w:i/>
          <w:iCs/>
        </w:rPr>
        <w:t>ională de a reglementa o procedură care să nu implice posibilitatea păr</w:t>
      </w:r>
      <w:r w:rsidR="00142D11">
        <w:rPr>
          <w:rFonts w:ascii="Times New Roman" w:hAnsi="Times New Roman"/>
          <w:i/>
          <w:iCs/>
        </w:rPr>
        <w:t>ț</w:t>
      </w:r>
      <w:r w:rsidRPr="00DD6488">
        <w:rPr>
          <w:rFonts w:ascii="Times New Roman" w:hAnsi="Times New Roman"/>
          <w:i/>
          <w:iCs/>
        </w:rPr>
        <w:t>ilor de a-</w:t>
      </w:r>
      <w:r w:rsidR="00142D11">
        <w:rPr>
          <w:rFonts w:ascii="Times New Roman" w:hAnsi="Times New Roman"/>
          <w:i/>
          <w:iCs/>
        </w:rPr>
        <w:t>ș</w:t>
      </w:r>
      <w:r w:rsidRPr="00DD6488">
        <w:rPr>
          <w:rFonts w:ascii="Times New Roman" w:hAnsi="Times New Roman"/>
          <w:i/>
          <w:iCs/>
        </w:rPr>
        <w:t>i prezenta punctele de vedere, sus</w:t>
      </w:r>
      <w:r w:rsidR="00142D11">
        <w:rPr>
          <w:rFonts w:ascii="Times New Roman" w:hAnsi="Times New Roman"/>
          <w:i/>
          <w:iCs/>
        </w:rPr>
        <w:t>ț</w:t>
      </w:r>
      <w:r w:rsidRPr="00DD6488">
        <w:rPr>
          <w:rFonts w:ascii="Times New Roman" w:hAnsi="Times New Roman"/>
          <w:i/>
          <w:iCs/>
        </w:rPr>
        <w:t>inerile sau cererile. Numai în acest mod poate fi asigurată accesibilitatea procedurii judiciare pentru păr</w:t>
      </w:r>
      <w:r w:rsidR="00142D11">
        <w:rPr>
          <w:rFonts w:ascii="Times New Roman" w:hAnsi="Times New Roman"/>
          <w:i/>
          <w:iCs/>
        </w:rPr>
        <w:t>ț</w:t>
      </w:r>
      <w:r w:rsidRPr="00DD6488">
        <w:rPr>
          <w:rFonts w:ascii="Times New Roman" w:hAnsi="Times New Roman"/>
          <w:i/>
          <w:iCs/>
        </w:rPr>
        <w:t>i.</w:t>
      </w:r>
    </w:p>
    <w:p w14:paraId="57C15855" w14:textId="4894D3CB" w:rsidR="00AA375F" w:rsidRPr="00DD6488" w:rsidRDefault="00AA375F" w:rsidP="00AA375F">
      <w:pPr>
        <w:spacing w:line="276" w:lineRule="auto"/>
        <w:ind w:firstLine="360"/>
        <w:jc w:val="both"/>
        <w:rPr>
          <w:rFonts w:ascii="Times New Roman" w:hAnsi="Times New Roman"/>
        </w:rPr>
      </w:pPr>
      <w:r w:rsidRPr="00DD6488">
        <w:rPr>
          <w:rFonts w:ascii="Times New Roman" w:hAnsi="Times New Roman"/>
        </w:rPr>
        <w:t>Având în vedere decizia CCR mai sus-men</w:t>
      </w:r>
      <w:r w:rsidR="00142D11">
        <w:rPr>
          <w:rFonts w:ascii="Times New Roman" w:hAnsi="Times New Roman"/>
        </w:rPr>
        <w:t>ț</w:t>
      </w:r>
      <w:r w:rsidRPr="00DD6488">
        <w:rPr>
          <w:rFonts w:ascii="Times New Roman" w:hAnsi="Times New Roman"/>
        </w:rPr>
        <w:t xml:space="preserve">ionată, </w:t>
      </w:r>
      <w:r w:rsidRPr="00DD6488">
        <w:rPr>
          <w:rFonts w:ascii="Times New Roman" w:hAnsi="Times New Roman"/>
          <w:b/>
          <w:bCs/>
        </w:rPr>
        <w:t xml:space="preserve">opinăm că nu este închisă </w:t>
      </w:r>
      <w:r w:rsidR="000D315C" w:rsidRPr="00DD6488">
        <w:rPr>
          <w:rFonts w:ascii="Times New Roman" w:hAnsi="Times New Roman"/>
          <w:b/>
          <w:bCs/>
        </w:rPr>
        <w:t>op</w:t>
      </w:r>
      <w:r w:rsidR="00142D11">
        <w:rPr>
          <w:rFonts w:ascii="Times New Roman" w:hAnsi="Times New Roman"/>
          <w:b/>
          <w:bCs/>
        </w:rPr>
        <w:t>ț</w:t>
      </w:r>
      <w:r w:rsidR="000D315C" w:rsidRPr="00DD6488">
        <w:rPr>
          <w:rFonts w:ascii="Times New Roman" w:hAnsi="Times New Roman"/>
          <w:b/>
          <w:bCs/>
        </w:rPr>
        <w:t>iunea</w:t>
      </w:r>
      <w:r w:rsidRPr="00DD6488">
        <w:rPr>
          <w:rFonts w:ascii="Times New Roman" w:hAnsi="Times New Roman"/>
          <w:b/>
          <w:bCs/>
        </w:rPr>
        <w:t xml:space="preserve"> legiuitorului de a adopta / </w:t>
      </w:r>
      <w:proofErr w:type="spellStart"/>
      <w:r w:rsidRPr="00DD6488">
        <w:rPr>
          <w:rFonts w:ascii="Times New Roman" w:hAnsi="Times New Roman"/>
          <w:b/>
          <w:bCs/>
        </w:rPr>
        <w:t>readopta</w:t>
      </w:r>
      <w:proofErr w:type="spellEnd"/>
      <w:r w:rsidRPr="00DD6488">
        <w:rPr>
          <w:rFonts w:ascii="Times New Roman" w:hAnsi="Times New Roman"/>
          <w:b/>
          <w:bCs/>
        </w:rPr>
        <w:t xml:space="preserve"> o procedură de filtru</w:t>
      </w:r>
      <w:r w:rsidRPr="00DD6488">
        <w:rPr>
          <w:rFonts w:ascii="Times New Roman" w:hAnsi="Times New Roman"/>
        </w:rPr>
        <w:t xml:space="preserve">, </w:t>
      </w:r>
      <w:r w:rsidRPr="00DD6488">
        <w:rPr>
          <w:rFonts w:ascii="Times New Roman" w:hAnsi="Times New Roman"/>
          <w:b/>
          <w:bCs/>
        </w:rPr>
        <w:t xml:space="preserve">cel </w:t>
      </w:r>
      <w:r w:rsidR="000D315C" w:rsidRPr="00DD6488">
        <w:rPr>
          <w:rFonts w:ascii="Times New Roman" w:hAnsi="Times New Roman"/>
          <w:b/>
          <w:bCs/>
        </w:rPr>
        <w:t>pu</w:t>
      </w:r>
      <w:r w:rsidR="00142D11">
        <w:rPr>
          <w:rFonts w:ascii="Times New Roman" w:hAnsi="Times New Roman"/>
          <w:b/>
          <w:bCs/>
        </w:rPr>
        <w:t>ț</w:t>
      </w:r>
      <w:r w:rsidR="000D315C" w:rsidRPr="00DD6488">
        <w:rPr>
          <w:rFonts w:ascii="Times New Roman" w:hAnsi="Times New Roman"/>
          <w:b/>
          <w:bCs/>
        </w:rPr>
        <w:t>in</w:t>
      </w:r>
      <w:r w:rsidRPr="00DD6488">
        <w:rPr>
          <w:rFonts w:ascii="Times New Roman" w:hAnsi="Times New Roman"/>
          <w:b/>
          <w:bCs/>
        </w:rPr>
        <w:t xml:space="preserve"> la nivelul </w:t>
      </w:r>
      <w:r w:rsidR="000D315C" w:rsidRPr="00DD6488">
        <w:rPr>
          <w:rFonts w:ascii="Times New Roman" w:hAnsi="Times New Roman"/>
          <w:b/>
          <w:bCs/>
        </w:rPr>
        <w:t>instan</w:t>
      </w:r>
      <w:r w:rsidR="00142D11">
        <w:rPr>
          <w:rFonts w:ascii="Times New Roman" w:hAnsi="Times New Roman"/>
          <w:b/>
          <w:bCs/>
        </w:rPr>
        <w:t>ț</w:t>
      </w:r>
      <w:r w:rsidR="000D315C" w:rsidRPr="00DD6488">
        <w:rPr>
          <w:rFonts w:ascii="Times New Roman" w:hAnsi="Times New Roman"/>
          <w:b/>
          <w:bCs/>
        </w:rPr>
        <w:t>ei</w:t>
      </w:r>
      <w:r w:rsidRPr="00DD6488">
        <w:rPr>
          <w:rFonts w:ascii="Times New Roman" w:hAnsi="Times New Roman"/>
          <w:b/>
          <w:bCs/>
        </w:rPr>
        <w:t xml:space="preserve"> supreme</w:t>
      </w:r>
      <w:r w:rsidRPr="00DD6488">
        <w:rPr>
          <w:rFonts w:ascii="Times New Roman" w:hAnsi="Times New Roman"/>
        </w:rPr>
        <w:t xml:space="preserve">, însă orice procedură de acest fel trebuie să respecte regulile trasate de Decizia CCR nr. 839/2015 pentru a se asigura </w:t>
      </w:r>
      <w:r w:rsidR="00840B29" w:rsidRPr="00DD6488">
        <w:rPr>
          <w:rFonts w:ascii="Times New Roman" w:hAnsi="Times New Roman"/>
        </w:rPr>
        <w:t>constitu</w:t>
      </w:r>
      <w:r w:rsidR="00142D11">
        <w:rPr>
          <w:rFonts w:ascii="Times New Roman" w:hAnsi="Times New Roman"/>
        </w:rPr>
        <w:t>ț</w:t>
      </w:r>
      <w:r w:rsidR="00840B29" w:rsidRPr="00DD6488">
        <w:rPr>
          <w:rFonts w:ascii="Times New Roman" w:hAnsi="Times New Roman"/>
        </w:rPr>
        <w:t>ionalitatea</w:t>
      </w:r>
      <w:r w:rsidRPr="00DD6488">
        <w:rPr>
          <w:rFonts w:ascii="Times New Roman" w:hAnsi="Times New Roman"/>
        </w:rPr>
        <w:t xml:space="preserve"> acesteia.</w:t>
      </w:r>
    </w:p>
    <w:p w14:paraId="2F669251" w14:textId="53D28CAB" w:rsidR="00AA375F" w:rsidRPr="00DD6488" w:rsidRDefault="00AA375F" w:rsidP="00AA375F">
      <w:pPr>
        <w:spacing w:line="276" w:lineRule="auto"/>
        <w:ind w:firstLine="360"/>
        <w:jc w:val="both"/>
        <w:rPr>
          <w:rFonts w:ascii="Times New Roman" w:hAnsi="Times New Roman"/>
        </w:rPr>
      </w:pPr>
      <w:r w:rsidRPr="00DD6488">
        <w:rPr>
          <w:rFonts w:ascii="Times New Roman" w:hAnsi="Times New Roman"/>
        </w:rPr>
        <w:lastRenderedPageBreak/>
        <w:t xml:space="preserve">Primul caz de clasare se referă la faptul că respectivele cereri </w:t>
      </w:r>
      <w:r w:rsidRPr="00DD6488">
        <w:rPr>
          <w:rFonts w:ascii="Times New Roman" w:hAnsi="Times New Roman"/>
          <w:i/>
          <w:iCs/>
        </w:rPr>
        <w:t>sunt informe sau au caracter ori con</w:t>
      </w:r>
      <w:r w:rsidR="00142D11">
        <w:rPr>
          <w:rFonts w:ascii="Times New Roman" w:hAnsi="Times New Roman"/>
          <w:i/>
          <w:iCs/>
        </w:rPr>
        <w:t>ț</w:t>
      </w:r>
      <w:r w:rsidRPr="00DD6488">
        <w:rPr>
          <w:rFonts w:ascii="Times New Roman" w:hAnsi="Times New Roman"/>
          <w:i/>
          <w:iCs/>
        </w:rPr>
        <w:t xml:space="preserve">inut vădit </w:t>
      </w:r>
      <w:r w:rsidR="00142D11">
        <w:rPr>
          <w:rFonts w:ascii="Times New Roman" w:hAnsi="Times New Roman"/>
          <w:i/>
          <w:iCs/>
        </w:rPr>
        <w:t>ș</w:t>
      </w:r>
      <w:r w:rsidR="000D315C" w:rsidRPr="00DD6488">
        <w:rPr>
          <w:rFonts w:ascii="Times New Roman" w:hAnsi="Times New Roman"/>
          <w:i/>
          <w:iCs/>
        </w:rPr>
        <w:t>icanator</w:t>
      </w:r>
      <w:r w:rsidRPr="00DD6488">
        <w:rPr>
          <w:rFonts w:ascii="Times New Roman" w:hAnsi="Times New Roman"/>
          <w:i/>
          <w:iCs/>
        </w:rPr>
        <w:t xml:space="preserve"> sau denigrator. </w:t>
      </w:r>
      <w:r w:rsidRPr="00DD6488">
        <w:rPr>
          <w:rFonts w:ascii="Times New Roman" w:hAnsi="Times New Roman"/>
          <w:b/>
          <w:bCs/>
        </w:rPr>
        <w:t xml:space="preserve">Cazul </w:t>
      </w:r>
      <w:r w:rsidR="000D315C" w:rsidRPr="00DD6488">
        <w:rPr>
          <w:rFonts w:ascii="Times New Roman" w:hAnsi="Times New Roman"/>
          <w:b/>
          <w:bCs/>
        </w:rPr>
        <w:t>enun</w:t>
      </w:r>
      <w:r w:rsidR="00142D11">
        <w:rPr>
          <w:rFonts w:ascii="Times New Roman" w:hAnsi="Times New Roman"/>
          <w:b/>
          <w:bCs/>
        </w:rPr>
        <w:t>ț</w:t>
      </w:r>
      <w:r w:rsidR="000D315C" w:rsidRPr="00DD6488">
        <w:rPr>
          <w:rFonts w:ascii="Times New Roman" w:hAnsi="Times New Roman"/>
          <w:b/>
          <w:bCs/>
        </w:rPr>
        <w:t>at</w:t>
      </w:r>
      <w:r w:rsidRPr="00DD6488">
        <w:rPr>
          <w:rFonts w:ascii="Times New Roman" w:hAnsi="Times New Roman"/>
          <w:b/>
          <w:bCs/>
        </w:rPr>
        <w:t xml:space="preserve"> nu ar trebui să vizeze nici </w:t>
      </w:r>
      <w:r w:rsidR="000D315C" w:rsidRPr="00DD6488">
        <w:rPr>
          <w:rFonts w:ascii="Times New Roman" w:hAnsi="Times New Roman"/>
          <w:b/>
          <w:bCs/>
        </w:rPr>
        <w:t>condi</w:t>
      </w:r>
      <w:r w:rsidR="00142D11">
        <w:rPr>
          <w:rFonts w:ascii="Times New Roman" w:hAnsi="Times New Roman"/>
          <w:b/>
          <w:bCs/>
        </w:rPr>
        <w:t>ț</w:t>
      </w:r>
      <w:r w:rsidR="000D315C" w:rsidRPr="00DD6488">
        <w:rPr>
          <w:rFonts w:ascii="Times New Roman" w:hAnsi="Times New Roman"/>
          <w:b/>
          <w:bCs/>
        </w:rPr>
        <w:t>iile</w:t>
      </w:r>
      <w:r w:rsidRPr="00DD6488">
        <w:rPr>
          <w:rFonts w:ascii="Times New Roman" w:hAnsi="Times New Roman"/>
          <w:b/>
          <w:bCs/>
        </w:rPr>
        <w:t xml:space="preserve"> de formă, nici </w:t>
      </w:r>
      <w:r w:rsidR="000D315C" w:rsidRPr="00DD6488">
        <w:rPr>
          <w:rFonts w:ascii="Times New Roman" w:hAnsi="Times New Roman"/>
          <w:b/>
          <w:bCs/>
        </w:rPr>
        <w:t>condi</w:t>
      </w:r>
      <w:r w:rsidR="00142D11">
        <w:rPr>
          <w:rFonts w:ascii="Times New Roman" w:hAnsi="Times New Roman"/>
          <w:b/>
          <w:bCs/>
        </w:rPr>
        <w:t>ț</w:t>
      </w:r>
      <w:r w:rsidR="000D315C" w:rsidRPr="00DD6488">
        <w:rPr>
          <w:rFonts w:ascii="Times New Roman" w:hAnsi="Times New Roman"/>
          <w:b/>
          <w:bCs/>
        </w:rPr>
        <w:t>iile</w:t>
      </w:r>
      <w:r w:rsidRPr="00DD6488">
        <w:rPr>
          <w:rFonts w:ascii="Times New Roman" w:hAnsi="Times New Roman"/>
          <w:b/>
          <w:bCs/>
        </w:rPr>
        <w:t xml:space="preserve"> de fond a unor asemenea cereri, ci numai aspecte „extrinseci” domeniului juridic</w:t>
      </w:r>
      <w:r w:rsidRPr="00DD6488">
        <w:rPr>
          <w:rFonts w:ascii="Times New Roman" w:hAnsi="Times New Roman"/>
        </w:rPr>
        <w:t xml:space="preserve"> : cereri care nu pot fi citite sau deslu</w:t>
      </w:r>
      <w:r w:rsidR="00142D11">
        <w:rPr>
          <w:rFonts w:ascii="Times New Roman" w:hAnsi="Times New Roman"/>
        </w:rPr>
        <w:t>ș</w:t>
      </w:r>
      <w:r w:rsidRPr="00DD6488">
        <w:rPr>
          <w:rFonts w:ascii="Times New Roman" w:hAnsi="Times New Roman"/>
        </w:rPr>
        <w:t xml:space="preserve">ite (informe), cereri vădit </w:t>
      </w:r>
      <w:r w:rsidR="00142D11">
        <w:rPr>
          <w:rFonts w:ascii="Times New Roman" w:hAnsi="Times New Roman"/>
        </w:rPr>
        <w:t>ș</w:t>
      </w:r>
      <w:r w:rsidRPr="00DD6488">
        <w:rPr>
          <w:rFonts w:ascii="Times New Roman" w:hAnsi="Times New Roman"/>
        </w:rPr>
        <w:t>icanatoriii, cereri denigratoare (care nu urmăresc un interes legitim). Men</w:t>
      </w:r>
      <w:r w:rsidR="00142D11">
        <w:rPr>
          <w:rFonts w:ascii="Times New Roman" w:hAnsi="Times New Roman"/>
        </w:rPr>
        <w:t>ț</w:t>
      </w:r>
      <w:r w:rsidRPr="00DD6488">
        <w:rPr>
          <w:rFonts w:ascii="Times New Roman" w:hAnsi="Times New Roman"/>
        </w:rPr>
        <w:t>ionăm faptul că, potrivit unei bogate jurispruden</w:t>
      </w:r>
      <w:r w:rsidR="00142D11">
        <w:rPr>
          <w:rFonts w:ascii="Times New Roman" w:hAnsi="Times New Roman"/>
        </w:rPr>
        <w:t>ț</w:t>
      </w:r>
      <w:r w:rsidRPr="00DD6488">
        <w:rPr>
          <w:rFonts w:ascii="Times New Roman" w:hAnsi="Times New Roman"/>
        </w:rPr>
        <w:t>e a CCR, textul legal, pentru a fi constitu</w:t>
      </w:r>
      <w:r w:rsidR="00142D11">
        <w:rPr>
          <w:rFonts w:ascii="Times New Roman" w:hAnsi="Times New Roman"/>
        </w:rPr>
        <w:t>ț</w:t>
      </w:r>
      <w:r w:rsidRPr="00DD6488">
        <w:rPr>
          <w:rFonts w:ascii="Times New Roman" w:hAnsi="Times New Roman"/>
        </w:rPr>
        <w:t>ional, în raport cu art. 1 din Constitu</w:t>
      </w:r>
      <w:r w:rsidR="00142D11">
        <w:rPr>
          <w:rFonts w:ascii="Times New Roman" w:hAnsi="Times New Roman"/>
        </w:rPr>
        <w:t>ț</w:t>
      </w:r>
      <w:r w:rsidRPr="00DD6488">
        <w:rPr>
          <w:rFonts w:ascii="Times New Roman" w:hAnsi="Times New Roman"/>
        </w:rPr>
        <w:t xml:space="preserve">ie, </w:t>
      </w:r>
      <w:r w:rsidRPr="00DD6488">
        <w:rPr>
          <w:rFonts w:ascii="Times New Roman" w:hAnsi="Times New Roman"/>
          <w:b/>
          <w:bCs/>
        </w:rPr>
        <w:t xml:space="preserve">trebuie să fie clar, predictibil </w:t>
      </w:r>
      <w:r w:rsidR="00142D11">
        <w:rPr>
          <w:rFonts w:ascii="Times New Roman" w:hAnsi="Times New Roman"/>
          <w:b/>
          <w:bCs/>
        </w:rPr>
        <w:t>ș</w:t>
      </w:r>
      <w:r w:rsidRPr="00DD6488">
        <w:rPr>
          <w:rFonts w:ascii="Times New Roman" w:hAnsi="Times New Roman"/>
          <w:b/>
          <w:bCs/>
        </w:rPr>
        <w:t>i previzibil la aplicare, respectiv necontradictoriu</w:t>
      </w:r>
      <w:r w:rsidRPr="00DD6488">
        <w:rPr>
          <w:rFonts w:ascii="Times New Roman" w:hAnsi="Times New Roman"/>
        </w:rPr>
        <w:t>. Propunerea legislativă de la art. 26</w:t>
      </w:r>
      <w:r w:rsidRPr="00DD6488">
        <w:rPr>
          <w:rFonts w:ascii="Times New Roman" w:hAnsi="Times New Roman"/>
          <w:vertAlign w:val="superscript"/>
        </w:rPr>
        <w:t>1</w:t>
      </w:r>
      <w:r w:rsidRPr="00DD6488">
        <w:rPr>
          <w:rFonts w:ascii="Times New Roman" w:hAnsi="Times New Roman"/>
        </w:rPr>
        <w:t xml:space="preserve"> alin. 1 lit. a nu îndepline</w:t>
      </w:r>
      <w:r w:rsidR="00142D11">
        <w:rPr>
          <w:rFonts w:ascii="Times New Roman" w:hAnsi="Times New Roman"/>
        </w:rPr>
        <w:t>ș</w:t>
      </w:r>
      <w:r w:rsidRPr="00DD6488">
        <w:rPr>
          <w:rFonts w:ascii="Times New Roman" w:hAnsi="Times New Roman"/>
        </w:rPr>
        <w:t>te, cel pu</w:t>
      </w:r>
      <w:r w:rsidR="00142D11">
        <w:rPr>
          <w:rFonts w:ascii="Times New Roman" w:hAnsi="Times New Roman"/>
        </w:rPr>
        <w:t>ț</w:t>
      </w:r>
      <w:r w:rsidRPr="00DD6488">
        <w:rPr>
          <w:rFonts w:ascii="Times New Roman" w:hAnsi="Times New Roman"/>
        </w:rPr>
        <w:t>in în parte, aceste condi</w:t>
      </w:r>
      <w:r w:rsidR="00142D11">
        <w:rPr>
          <w:rFonts w:ascii="Times New Roman" w:hAnsi="Times New Roman"/>
        </w:rPr>
        <w:t>ț</w:t>
      </w:r>
      <w:r w:rsidRPr="00DD6488">
        <w:rPr>
          <w:rFonts w:ascii="Times New Roman" w:hAnsi="Times New Roman"/>
        </w:rPr>
        <w:t>ionalită</w:t>
      </w:r>
      <w:r w:rsidR="00142D11">
        <w:rPr>
          <w:rFonts w:ascii="Times New Roman" w:hAnsi="Times New Roman"/>
        </w:rPr>
        <w:t>ț</w:t>
      </w:r>
      <w:r w:rsidRPr="00DD6488">
        <w:rPr>
          <w:rFonts w:ascii="Times New Roman" w:hAnsi="Times New Roman"/>
        </w:rPr>
        <w:t>i:</w:t>
      </w:r>
    </w:p>
    <w:p w14:paraId="0D07FFC7" w14:textId="238F489C" w:rsidR="00AA375F" w:rsidRPr="00DD6488" w:rsidRDefault="00AA375F" w:rsidP="00AA375F">
      <w:pPr>
        <w:pStyle w:val="ListParagraph"/>
        <w:numPr>
          <w:ilvl w:val="0"/>
          <w:numId w:val="4"/>
        </w:numPr>
        <w:spacing w:line="276" w:lineRule="auto"/>
        <w:jc w:val="both"/>
        <w:rPr>
          <w:rFonts w:ascii="Times New Roman" w:hAnsi="Times New Roman"/>
          <w:sz w:val="24"/>
          <w:szCs w:val="24"/>
        </w:rPr>
      </w:pPr>
      <w:r w:rsidRPr="00DD6488">
        <w:rPr>
          <w:rFonts w:ascii="Times New Roman" w:hAnsi="Times New Roman"/>
          <w:i/>
          <w:iCs/>
          <w:sz w:val="24"/>
          <w:szCs w:val="24"/>
        </w:rPr>
        <w:t>termenul de „inform” nu este foarte clar</w:t>
      </w:r>
      <w:r w:rsidRPr="00DD6488">
        <w:rPr>
          <w:rFonts w:ascii="Times New Roman" w:hAnsi="Times New Roman"/>
          <w:sz w:val="24"/>
          <w:szCs w:val="24"/>
        </w:rPr>
        <w:t xml:space="preserve"> – se referă la cereri care nu ar fi juridice sau la cereri care nu îndeplinesc condi</w:t>
      </w:r>
      <w:r w:rsidR="00142D11">
        <w:rPr>
          <w:rFonts w:ascii="Times New Roman" w:hAnsi="Times New Roman"/>
          <w:sz w:val="24"/>
          <w:szCs w:val="24"/>
        </w:rPr>
        <w:t>ț</w:t>
      </w:r>
      <w:r w:rsidRPr="00DD6488">
        <w:rPr>
          <w:rFonts w:ascii="Times New Roman" w:hAnsi="Times New Roman"/>
          <w:sz w:val="24"/>
          <w:szCs w:val="24"/>
        </w:rPr>
        <w:t xml:space="preserve">iile de formă prevăzute de lege? Neclaritatea termenului ar putea implica o practică neunitară </w:t>
      </w:r>
      <w:r w:rsidR="00142D11">
        <w:rPr>
          <w:rFonts w:ascii="Times New Roman" w:hAnsi="Times New Roman"/>
          <w:sz w:val="24"/>
          <w:szCs w:val="24"/>
        </w:rPr>
        <w:t>ș</w:t>
      </w:r>
      <w:r w:rsidRPr="00DD6488">
        <w:rPr>
          <w:rFonts w:ascii="Times New Roman" w:hAnsi="Times New Roman"/>
          <w:sz w:val="24"/>
          <w:szCs w:val="24"/>
        </w:rPr>
        <w:t>i poate discre</w:t>
      </w:r>
      <w:r w:rsidR="00142D11">
        <w:rPr>
          <w:rFonts w:ascii="Times New Roman" w:hAnsi="Times New Roman"/>
          <w:sz w:val="24"/>
          <w:szCs w:val="24"/>
        </w:rPr>
        <w:t>ț</w:t>
      </w:r>
      <w:r w:rsidRPr="00DD6488">
        <w:rPr>
          <w:rFonts w:ascii="Times New Roman" w:hAnsi="Times New Roman"/>
          <w:sz w:val="24"/>
          <w:szCs w:val="24"/>
        </w:rPr>
        <w:t>ionară, putând fi în contradic</w:t>
      </w:r>
      <w:r w:rsidR="00142D11">
        <w:rPr>
          <w:rFonts w:ascii="Times New Roman" w:hAnsi="Times New Roman"/>
          <w:sz w:val="24"/>
          <w:szCs w:val="24"/>
        </w:rPr>
        <w:t>ț</w:t>
      </w:r>
      <w:r w:rsidRPr="00DD6488">
        <w:rPr>
          <w:rFonts w:ascii="Times New Roman" w:hAnsi="Times New Roman"/>
          <w:sz w:val="24"/>
          <w:szCs w:val="24"/>
        </w:rPr>
        <w:t xml:space="preserve">ie </w:t>
      </w:r>
      <w:r w:rsidR="00142D11">
        <w:rPr>
          <w:rFonts w:ascii="Times New Roman" w:hAnsi="Times New Roman"/>
          <w:sz w:val="24"/>
          <w:szCs w:val="24"/>
        </w:rPr>
        <w:t>ș</w:t>
      </w:r>
      <w:r w:rsidRPr="00DD6488">
        <w:rPr>
          <w:rFonts w:ascii="Times New Roman" w:hAnsi="Times New Roman"/>
          <w:sz w:val="24"/>
          <w:szCs w:val="24"/>
        </w:rPr>
        <w:t xml:space="preserve">i cu Decizia CCR nr. 839/2015 dacă ar implica o cercetare a elementelor obligatorii ale cererii / căii de atac. Pentru aceste aspecte „informe” există </w:t>
      </w:r>
      <w:r w:rsidR="00142D11">
        <w:rPr>
          <w:rFonts w:ascii="Times New Roman" w:hAnsi="Times New Roman"/>
          <w:sz w:val="24"/>
          <w:szCs w:val="24"/>
        </w:rPr>
        <w:t>ș</w:t>
      </w:r>
      <w:r w:rsidRPr="00DD6488">
        <w:rPr>
          <w:rFonts w:ascii="Times New Roman" w:hAnsi="Times New Roman"/>
          <w:sz w:val="24"/>
          <w:szCs w:val="24"/>
        </w:rPr>
        <w:t>i sanc</w:t>
      </w:r>
      <w:r w:rsidR="00142D11">
        <w:rPr>
          <w:rFonts w:ascii="Times New Roman" w:hAnsi="Times New Roman"/>
          <w:sz w:val="24"/>
          <w:szCs w:val="24"/>
        </w:rPr>
        <w:t>ț</w:t>
      </w:r>
      <w:r w:rsidRPr="00DD6488">
        <w:rPr>
          <w:rFonts w:ascii="Times New Roman" w:hAnsi="Times New Roman"/>
          <w:sz w:val="24"/>
          <w:szCs w:val="24"/>
        </w:rPr>
        <w:t>iunea nulită</w:t>
      </w:r>
      <w:r w:rsidR="00142D11">
        <w:rPr>
          <w:rFonts w:ascii="Times New Roman" w:hAnsi="Times New Roman"/>
          <w:sz w:val="24"/>
          <w:szCs w:val="24"/>
        </w:rPr>
        <w:t>ț</w:t>
      </w:r>
      <w:r w:rsidRPr="00DD6488">
        <w:rPr>
          <w:rFonts w:ascii="Times New Roman" w:hAnsi="Times New Roman"/>
          <w:sz w:val="24"/>
          <w:szCs w:val="24"/>
        </w:rPr>
        <w:t>ii cererii.</w:t>
      </w:r>
    </w:p>
    <w:p w14:paraId="06EC1A50" w14:textId="52F84F0E" w:rsidR="00AA375F" w:rsidRPr="00DD6488" w:rsidRDefault="00AA375F" w:rsidP="00AA375F">
      <w:pPr>
        <w:pStyle w:val="ListParagraph"/>
        <w:numPr>
          <w:ilvl w:val="0"/>
          <w:numId w:val="4"/>
        </w:numPr>
        <w:spacing w:line="276" w:lineRule="auto"/>
        <w:jc w:val="both"/>
        <w:rPr>
          <w:rFonts w:ascii="Times New Roman" w:hAnsi="Times New Roman"/>
          <w:sz w:val="24"/>
          <w:szCs w:val="24"/>
        </w:rPr>
      </w:pPr>
      <w:r w:rsidRPr="00DD6488">
        <w:rPr>
          <w:rFonts w:ascii="Times New Roman" w:hAnsi="Times New Roman"/>
          <w:i/>
          <w:iCs/>
          <w:sz w:val="24"/>
          <w:szCs w:val="24"/>
        </w:rPr>
        <w:t>expresia „con</w:t>
      </w:r>
      <w:r w:rsidR="00142D11">
        <w:rPr>
          <w:rFonts w:ascii="Times New Roman" w:hAnsi="Times New Roman"/>
          <w:i/>
          <w:iCs/>
          <w:sz w:val="24"/>
          <w:szCs w:val="24"/>
        </w:rPr>
        <w:t>ț</w:t>
      </w:r>
      <w:r w:rsidRPr="00DD6488">
        <w:rPr>
          <w:rFonts w:ascii="Times New Roman" w:hAnsi="Times New Roman"/>
          <w:i/>
          <w:iCs/>
          <w:sz w:val="24"/>
          <w:szCs w:val="24"/>
        </w:rPr>
        <w:t xml:space="preserve">inut vădit </w:t>
      </w:r>
      <w:r w:rsidR="00142D11">
        <w:rPr>
          <w:rFonts w:ascii="Times New Roman" w:hAnsi="Times New Roman"/>
          <w:i/>
          <w:iCs/>
          <w:sz w:val="24"/>
          <w:szCs w:val="24"/>
        </w:rPr>
        <w:t>ș</w:t>
      </w:r>
      <w:r w:rsidRPr="00DD6488">
        <w:rPr>
          <w:rFonts w:ascii="Times New Roman" w:hAnsi="Times New Roman"/>
          <w:i/>
          <w:iCs/>
          <w:sz w:val="24"/>
          <w:szCs w:val="24"/>
        </w:rPr>
        <w:t>icanator” nu este foarte clară</w:t>
      </w:r>
      <w:r w:rsidRPr="00DD6488">
        <w:rPr>
          <w:rFonts w:ascii="Times New Roman" w:hAnsi="Times New Roman"/>
          <w:sz w:val="24"/>
          <w:szCs w:val="24"/>
        </w:rPr>
        <w:t xml:space="preserve"> </w:t>
      </w:r>
      <w:r w:rsidR="00142D11">
        <w:rPr>
          <w:rFonts w:ascii="Times New Roman" w:hAnsi="Times New Roman"/>
          <w:sz w:val="24"/>
          <w:szCs w:val="24"/>
        </w:rPr>
        <w:t>ș</w:t>
      </w:r>
      <w:r w:rsidRPr="00DD6488">
        <w:rPr>
          <w:rFonts w:ascii="Times New Roman" w:hAnsi="Times New Roman"/>
          <w:sz w:val="24"/>
          <w:szCs w:val="24"/>
        </w:rPr>
        <w:t>i poate atrage o neconstitu</w:t>
      </w:r>
      <w:r w:rsidR="00142D11">
        <w:rPr>
          <w:rFonts w:ascii="Times New Roman" w:hAnsi="Times New Roman"/>
          <w:sz w:val="24"/>
          <w:szCs w:val="24"/>
        </w:rPr>
        <w:t>ț</w:t>
      </w:r>
      <w:r w:rsidRPr="00DD6488">
        <w:rPr>
          <w:rFonts w:ascii="Times New Roman" w:hAnsi="Times New Roman"/>
          <w:sz w:val="24"/>
          <w:szCs w:val="24"/>
        </w:rPr>
        <w:t xml:space="preserve">ionalitate sub aspectul caracterului predictibil </w:t>
      </w:r>
      <w:r w:rsidR="00142D11">
        <w:rPr>
          <w:rFonts w:ascii="Times New Roman" w:hAnsi="Times New Roman"/>
          <w:sz w:val="24"/>
          <w:szCs w:val="24"/>
        </w:rPr>
        <w:t>ș</w:t>
      </w:r>
      <w:r w:rsidRPr="00DD6488">
        <w:rPr>
          <w:rFonts w:ascii="Times New Roman" w:hAnsi="Times New Roman"/>
          <w:sz w:val="24"/>
          <w:szCs w:val="24"/>
        </w:rPr>
        <w:t>i previzibil al normei legale. Acest con</w:t>
      </w:r>
      <w:r w:rsidR="00142D11">
        <w:rPr>
          <w:rFonts w:ascii="Times New Roman" w:hAnsi="Times New Roman"/>
          <w:sz w:val="24"/>
          <w:szCs w:val="24"/>
        </w:rPr>
        <w:t>ț</w:t>
      </w:r>
      <w:r w:rsidRPr="00DD6488">
        <w:rPr>
          <w:rFonts w:ascii="Times New Roman" w:hAnsi="Times New Roman"/>
          <w:sz w:val="24"/>
          <w:szCs w:val="24"/>
        </w:rPr>
        <w:t xml:space="preserve">inut „vădit </w:t>
      </w:r>
      <w:r w:rsidR="00142D11">
        <w:rPr>
          <w:rFonts w:ascii="Times New Roman" w:hAnsi="Times New Roman"/>
          <w:sz w:val="24"/>
          <w:szCs w:val="24"/>
        </w:rPr>
        <w:t>ș</w:t>
      </w:r>
      <w:r w:rsidRPr="00DD6488">
        <w:rPr>
          <w:rFonts w:ascii="Times New Roman" w:hAnsi="Times New Roman"/>
          <w:sz w:val="24"/>
          <w:szCs w:val="24"/>
        </w:rPr>
        <w:t>icanator” poate avea o componentă peiorativă ce nu î</w:t>
      </w:r>
      <w:r w:rsidR="00142D11">
        <w:rPr>
          <w:rFonts w:ascii="Times New Roman" w:hAnsi="Times New Roman"/>
          <w:sz w:val="24"/>
          <w:szCs w:val="24"/>
        </w:rPr>
        <w:t>ș</w:t>
      </w:r>
      <w:r w:rsidRPr="00DD6488">
        <w:rPr>
          <w:rFonts w:ascii="Times New Roman" w:hAnsi="Times New Roman"/>
          <w:sz w:val="24"/>
          <w:szCs w:val="24"/>
        </w:rPr>
        <w:t>i are locul în cazul unui demers judiciar sau poate implica o exercitare abuzivă a unui drept procesual. În acest din urmă caz cercetarea unui eventual abuz de drept procesual nu se poate regăsi, din punct de vedere constitu</w:t>
      </w:r>
      <w:r w:rsidR="00142D11">
        <w:rPr>
          <w:rFonts w:ascii="Times New Roman" w:hAnsi="Times New Roman"/>
          <w:sz w:val="24"/>
          <w:szCs w:val="24"/>
        </w:rPr>
        <w:t>ț</w:t>
      </w:r>
      <w:r w:rsidRPr="00DD6488">
        <w:rPr>
          <w:rFonts w:ascii="Times New Roman" w:hAnsi="Times New Roman"/>
          <w:sz w:val="24"/>
          <w:szCs w:val="24"/>
        </w:rPr>
        <w:t>ional,  în procedura necontradictorie a filtrului. Abuzul de drept procesual este sanc</w:t>
      </w:r>
      <w:r w:rsidR="00142D11">
        <w:rPr>
          <w:rFonts w:ascii="Times New Roman" w:hAnsi="Times New Roman"/>
          <w:sz w:val="24"/>
          <w:szCs w:val="24"/>
        </w:rPr>
        <w:t>ț</w:t>
      </w:r>
      <w:r w:rsidRPr="00DD6488">
        <w:rPr>
          <w:rFonts w:ascii="Times New Roman" w:hAnsi="Times New Roman"/>
          <w:sz w:val="24"/>
          <w:szCs w:val="24"/>
        </w:rPr>
        <w:t>ionabil potrivit Codului de procedură civilă prin sanc</w:t>
      </w:r>
      <w:r w:rsidR="00142D11">
        <w:rPr>
          <w:rFonts w:ascii="Times New Roman" w:hAnsi="Times New Roman"/>
          <w:sz w:val="24"/>
          <w:szCs w:val="24"/>
        </w:rPr>
        <w:t>ț</w:t>
      </w:r>
      <w:r w:rsidRPr="00DD6488">
        <w:rPr>
          <w:rFonts w:ascii="Times New Roman" w:hAnsi="Times New Roman"/>
          <w:sz w:val="24"/>
          <w:szCs w:val="24"/>
        </w:rPr>
        <w:t xml:space="preserve">iuni în plan procesual, al </w:t>
      </w:r>
      <w:proofErr w:type="spellStart"/>
      <w:r w:rsidRPr="00DD6488">
        <w:rPr>
          <w:rFonts w:ascii="Times New Roman" w:hAnsi="Times New Roman"/>
          <w:sz w:val="24"/>
          <w:szCs w:val="24"/>
        </w:rPr>
        <w:t>amendei</w:t>
      </w:r>
      <w:proofErr w:type="spellEnd"/>
      <w:r w:rsidRPr="00DD6488">
        <w:rPr>
          <w:rFonts w:ascii="Times New Roman" w:hAnsi="Times New Roman"/>
          <w:sz w:val="24"/>
          <w:szCs w:val="24"/>
        </w:rPr>
        <w:t xml:space="preserve"> judiciare </w:t>
      </w:r>
      <w:r w:rsidR="00142D11">
        <w:rPr>
          <w:rFonts w:ascii="Times New Roman" w:hAnsi="Times New Roman"/>
          <w:sz w:val="24"/>
          <w:szCs w:val="24"/>
        </w:rPr>
        <w:t>ș</w:t>
      </w:r>
      <w:r w:rsidRPr="00DD6488">
        <w:rPr>
          <w:rFonts w:ascii="Times New Roman" w:hAnsi="Times New Roman"/>
          <w:sz w:val="24"/>
          <w:szCs w:val="24"/>
        </w:rPr>
        <w:t>i în planul despăgubirilor civile (însă cu parcurgerea unei proceduri contradictorii).</w:t>
      </w:r>
    </w:p>
    <w:p w14:paraId="2ABA1833" w14:textId="0E915542" w:rsidR="00AA375F" w:rsidRPr="00DD6488" w:rsidRDefault="00AA375F" w:rsidP="00AA375F">
      <w:pPr>
        <w:pStyle w:val="ListParagraph"/>
        <w:numPr>
          <w:ilvl w:val="0"/>
          <w:numId w:val="4"/>
        </w:numPr>
        <w:spacing w:line="276" w:lineRule="auto"/>
        <w:jc w:val="both"/>
        <w:rPr>
          <w:rFonts w:ascii="Times New Roman" w:hAnsi="Times New Roman"/>
          <w:sz w:val="24"/>
          <w:szCs w:val="24"/>
        </w:rPr>
      </w:pPr>
      <w:r w:rsidRPr="00DD6488">
        <w:rPr>
          <w:rFonts w:ascii="Times New Roman" w:hAnsi="Times New Roman"/>
          <w:i/>
          <w:iCs/>
          <w:sz w:val="24"/>
          <w:szCs w:val="24"/>
        </w:rPr>
        <w:t>aspectele „</w:t>
      </w:r>
      <w:proofErr w:type="spellStart"/>
      <w:r w:rsidRPr="00DD6488">
        <w:rPr>
          <w:rFonts w:ascii="Times New Roman" w:hAnsi="Times New Roman"/>
          <w:i/>
          <w:iCs/>
          <w:sz w:val="24"/>
          <w:szCs w:val="24"/>
        </w:rPr>
        <w:t>sicanatorii</w:t>
      </w:r>
      <w:proofErr w:type="spellEnd"/>
      <w:r w:rsidRPr="00DD6488">
        <w:rPr>
          <w:rFonts w:ascii="Times New Roman" w:hAnsi="Times New Roman"/>
          <w:i/>
          <w:iCs/>
          <w:sz w:val="24"/>
          <w:szCs w:val="24"/>
        </w:rPr>
        <w:t xml:space="preserve"> </w:t>
      </w:r>
      <w:r w:rsidR="00142D11">
        <w:rPr>
          <w:rFonts w:ascii="Times New Roman" w:hAnsi="Times New Roman"/>
          <w:i/>
          <w:iCs/>
          <w:sz w:val="24"/>
          <w:szCs w:val="24"/>
        </w:rPr>
        <w:t>ș</w:t>
      </w:r>
      <w:r w:rsidRPr="00DD6488">
        <w:rPr>
          <w:rFonts w:ascii="Times New Roman" w:hAnsi="Times New Roman"/>
          <w:i/>
          <w:iCs/>
          <w:sz w:val="24"/>
          <w:szCs w:val="24"/>
        </w:rPr>
        <w:t>i denigratorii” sunt deja sanc</w:t>
      </w:r>
      <w:r w:rsidR="00142D11">
        <w:rPr>
          <w:rFonts w:ascii="Times New Roman" w:hAnsi="Times New Roman"/>
          <w:i/>
          <w:iCs/>
          <w:sz w:val="24"/>
          <w:szCs w:val="24"/>
        </w:rPr>
        <w:t>ț</w:t>
      </w:r>
      <w:r w:rsidRPr="00DD6488">
        <w:rPr>
          <w:rFonts w:ascii="Times New Roman" w:hAnsi="Times New Roman"/>
          <w:i/>
          <w:iCs/>
          <w:sz w:val="24"/>
          <w:szCs w:val="24"/>
        </w:rPr>
        <w:t>ionabile în Codul de procedură civilă</w:t>
      </w:r>
      <w:r w:rsidRPr="00DD6488">
        <w:rPr>
          <w:rFonts w:ascii="Times New Roman" w:hAnsi="Times New Roman"/>
          <w:sz w:val="24"/>
          <w:szCs w:val="24"/>
        </w:rPr>
        <w:t>, respectiv prin amendă judiciară potrivit art. 188 NCPC.</w:t>
      </w:r>
    </w:p>
    <w:p w14:paraId="403F2BA7" w14:textId="0568620E" w:rsidR="00AA375F" w:rsidRPr="00DD6488" w:rsidRDefault="00AA375F" w:rsidP="00AA375F">
      <w:pPr>
        <w:pStyle w:val="ListParagraph"/>
        <w:numPr>
          <w:ilvl w:val="0"/>
          <w:numId w:val="4"/>
        </w:numPr>
        <w:spacing w:line="276" w:lineRule="auto"/>
        <w:jc w:val="both"/>
        <w:rPr>
          <w:rFonts w:ascii="Times New Roman" w:hAnsi="Times New Roman"/>
          <w:sz w:val="24"/>
          <w:szCs w:val="24"/>
        </w:rPr>
      </w:pPr>
      <w:r w:rsidRPr="00DD6488">
        <w:rPr>
          <w:rFonts w:ascii="Times New Roman" w:hAnsi="Times New Roman"/>
          <w:sz w:val="24"/>
          <w:szCs w:val="24"/>
        </w:rPr>
        <w:t xml:space="preserve">textul legal propus nu este clar </w:t>
      </w:r>
      <w:r w:rsidR="00142D11">
        <w:rPr>
          <w:rFonts w:ascii="Times New Roman" w:hAnsi="Times New Roman"/>
          <w:sz w:val="24"/>
          <w:szCs w:val="24"/>
        </w:rPr>
        <w:t>ș</w:t>
      </w:r>
      <w:r w:rsidRPr="00DD6488">
        <w:rPr>
          <w:rFonts w:ascii="Times New Roman" w:hAnsi="Times New Roman"/>
          <w:sz w:val="24"/>
          <w:szCs w:val="24"/>
        </w:rPr>
        <w:t>i cu privire la următoarea ipoteză : o cerere, în acela</w:t>
      </w:r>
      <w:r w:rsidR="00142D11">
        <w:rPr>
          <w:rFonts w:ascii="Times New Roman" w:hAnsi="Times New Roman"/>
          <w:sz w:val="24"/>
          <w:szCs w:val="24"/>
        </w:rPr>
        <w:t>ș</w:t>
      </w:r>
      <w:r w:rsidRPr="00DD6488">
        <w:rPr>
          <w:rFonts w:ascii="Times New Roman" w:hAnsi="Times New Roman"/>
          <w:sz w:val="24"/>
          <w:szCs w:val="24"/>
        </w:rPr>
        <w:t xml:space="preserve">i timp, are </w:t>
      </w:r>
      <w:r w:rsidR="00142D11">
        <w:rPr>
          <w:rFonts w:ascii="Times New Roman" w:hAnsi="Times New Roman"/>
          <w:sz w:val="24"/>
          <w:szCs w:val="24"/>
        </w:rPr>
        <w:t>ș</w:t>
      </w:r>
      <w:r w:rsidRPr="00DD6488">
        <w:rPr>
          <w:rFonts w:ascii="Times New Roman" w:hAnsi="Times New Roman"/>
          <w:sz w:val="24"/>
          <w:szCs w:val="24"/>
        </w:rPr>
        <w:t xml:space="preserve">i caracter vădit </w:t>
      </w:r>
      <w:r w:rsidR="00142D11">
        <w:rPr>
          <w:rFonts w:ascii="Times New Roman" w:hAnsi="Times New Roman"/>
          <w:sz w:val="24"/>
          <w:szCs w:val="24"/>
        </w:rPr>
        <w:t>ș</w:t>
      </w:r>
      <w:r w:rsidRPr="00DD6488">
        <w:rPr>
          <w:rFonts w:ascii="Times New Roman" w:hAnsi="Times New Roman"/>
          <w:sz w:val="24"/>
          <w:szCs w:val="24"/>
        </w:rPr>
        <w:t xml:space="preserve">icanatoriu sau este denigratoare, dar este </w:t>
      </w:r>
      <w:r w:rsidR="00142D11">
        <w:rPr>
          <w:rFonts w:ascii="Times New Roman" w:hAnsi="Times New Roman"/>
          <w:sz w:val="24"/>
          <w:szCs w:val="24"/>
        </w:rPr>
        <w:t>ș</w:t>
      </w:r>
      <w:r w:rsidRPr="00DD6488">
        <w:rPr>
          <w:rFonts w:ascii="Times New Roman" w:hAnsi="Times New Roman"/>
          <w:sz w:val="24"/>
          <w:szCs w:val="24"/>
        </w:rPr>
        <w:t>i formal, în regulă, cu privire la con</w:t>
      </w:r>
      <w:r w:rsidR="00142D11">
        <w:rPr>
          <w:rFonts w:ascii="Times New Roman" w:hAnsi="Times New Roman"/>
          <w:sz w:val="24"/>
          <w:szCs w:val="24"/>
        </w:rPr>
        <w:t>ț</w:t>
      </w:r>
      <w:r w:rsidRPr="00DD6488">
        <w:rPr>
          <w:rFonts w:ascii="Times New Roman" w:hAnsi="Times New Roman"/>
          <w:sz w:val="24"/>
          <w:szCs w:val="24"/>
        </w:rPr>
        <w:t>inutul său. Ce sanc</w:t>
      </w:r>
      <w:r w:rsidR="00142D11">
        <w:rPr>
          <w:rFonts w:ascii="Times New Roman" w:hAnsi="Times New Roman"/>
          <w:sz w:val="24"/>
          <w:szCs w:val="24"/>
        </w:rPr>
        <w:t>ț</w:t>
      </w:r>
      <w:r w:rsidRPr="00DD6488">
        <w:rPr>
          <w:rFonts w:ascii="Times New Roman" w:hAnsi="Times New Roman"/>
          <w:sz w:val="24"/>
          <w:szCs w:val="24"/>
        </w:rPr>
        <w:t xml:space="preserve">iune se va aplica în acest caz? Clasarea ? (de exemplu este o cerere de recurs motivată corespunzător, eventual admisibilă,  dar care cuprinde </w:t>
      </w:r>
      <w:r w:rsidR="00142D11">
        <w:rPr>
          <w:rFonts w:ascii="Times New Roman" w:hAnsi="Times New Roman"/>
          <w:sz w:val="24"/>
          <w:szCs w:val="24"/>
        </w:rPr>
        <w:t>ș</w:t>
      </w:r>
      <w:r w:rsidRPr="00DD6488">
        <w:rPr>
          <w:rFonts w:ascii="Times New Roman" w:hAnsi="Times New Roman"/>
          <w:sz w:val="24"/>
          <w:szCs w:val="24"/>
        </w:rPr>
        <w:t>i pasaje denigratoare la adresa păr</w:t>
      </w:r>
      <w:r w:rsidR="00142D11">
        <w:rPr>
          <w:rFonts w:ascii="Times New Roman" w:hAnsi="Times New Roman"/>
          <w:sz w:val="24"/>
          <w:szCs w:val="24"/>
        </w:rPr>
        <w:t>ț</w:t>
      </w:r>
      <w:r w:rsidRPr="00DD6488">
        <w:rPr>
          <w:rFonts w:ascii="Times New Roman" w:hAnsi="Times New Roman"/>
          <w:sz w:val="24"/>
          <w:szCs w:val="24"/>
        </w:rPr>
        <w:t>ii adverse sau a instan</w:t>
      </w:r>
      <w:r w:rsidR="00142D11">
        <w:rPr>
          <w:rFonts w:ascii="Times New Roman" w:hAnsi="Times New Roman"/>
          <w:sz w:val="24"/>
          <w:szCs w:val="24"/>
        </w:rPr>
        <w:t>ț</w:t>
      </w:r>
      <w:r w:rsidRPr="00DD6488">
        <w:rPr>
          <w:rFonts w:ascii="Times New Roman" w:hAnsi="Times New Roman"/>
          <w:sz w:val="24"/>
          <w:szCs w:val="24"/>
        </w:rPr>
        <w:t xml:space="preserve">ei). </w:t>
      </w:r>
      <w:r w:rsidRPr="00DD6488">
        <w:rPr>
          <w:rFonts w:ascii="Times New Roman" w:hAnsi="Times New Roman"/>
          <w:i/>
          <w:iCs/>
          <w:sz w:val="24"/>
          <w:szCs w:val="24"/>
        </w:rPr>
        <w:t xml:space="preserve">Acest „mixt” nu este reglementat </w:t>
      </w:r>
      <w:r w:rsidR="00142D11">
        <w:rPr>
          <w:rFonts w:ascii="Times New Roman" w:hAnsi="Times New Roman"/>
          <w:i/>
          <w:iCs/>
          <w:sz w:val="24"/>
          <w:szCs w:val="24"/>
        </w:rPr>
        <w:t>ș</w:t>
      </w:r>
      <w:r w:rsidRPr="00DD6488">
        <w:rPr>
          <w:rFonts w:ascii="Times New Roman" w:hAnsi="Times New Roman"/>
          <w:i/>
          <w:iCs/>
          <w:sz w:val="24"/>
          <w:szCs w:val="24"/>
        </w:rPr>
        <w:t>i poate ridica probleme de practică neunitară</w:t>
      </w:r>
      <w:r w:rsidRPr="00DD6488">
        <w:rPr>
          <w:rFonts w:ascii="Times New Roman" w:hAnsi="Times New Roman"/>
          <w:sz w:val="24"/>
          <w:szCs w:val="24"/>
        </w:rPr>
        <w:t>.</w:t>
      </w:r>
    </w:p>
    <w:p w14:paraId="527A7850" w14:textId="3ABB8367" w:rsidR="00AA375F" w:rsidRPr="00DD6488" w:rsidRDefault="00AA375F" w:rsidP="00AA375F">
      <w:pPr>
        <w:spacing w:line="276" w:lineRule="auto"/>
        <w:ind w:firstLine="360"/>
        <w:jc w:val="both"/>
        <w:rPr>
          <w:rFonts w:ascii="Times New Roman" w:hAnsi="Times New Roman"/>
        </w:rPr>
      </w:pPr>
      <w:r w:rsidRPr="00DD6488">
        <w:rPr>
          <w:rFonts w:ascii="Times New Roman" w:hAnsi="Times New Roman"/>
        </w:rPr>
        <w:t xml:space="preserve">Al doilea caz de clasare se referă la cereri care </w:t>
      </w:r>
      <w:r w:rsidRPr="00DD6488">
        <w:rPr>
          <w:rFonts w:ascii="Times New Roman" w:hAnsi="Times New Roman"/>
          <w:i/>
          <w:iCs/>
        </w:rPr>
        <w:t>nu se circumscriu în mod evident competen</w:t>
      </w:r>
      <w:r w:rsidR="00142D11">
        <w:rPr>
          <w:rFonts w:ascii="Times New Roman" w:hAnsi="Times New Roman"/>
          <w:i/>
          <w:iCs/>
        </w:rPr>
        <w:t>ț</w:t>
      </w:r>
      <w:r w:rsidRPr="00DD6488">
        <w:rPr>
          <w:rFonts w:ascii="Times New Roman" w:hAnsi="Times New Roman"/>
          <w:i/>
          <w:iCs/>
        </w:rPr>
        <w:t>ei</w:t>
      </w:r>
      <w:r w:rsidRPr="00DD6488">
        <w:rPr>
          <w:rFonts w:ascii="Times New Roman" w:hAnsi="Times New Roman"/>
        </w:rPr>
        <w:t xml:space="preserve"> sec</w:t>
      </w:r>
      <w:r w:rsidR="00142D11">
        <w:rPr>
          <w:rFonts w:ascii="Times New Roman" w:hAnsi="Times New Roman"/>
        </w:rPr>
        <w:t>ț</w:t>
      </w:r>
      <w:r w:rsidRPr="00DD6488">
        <w:rPr>
          <w:rFonts w:ascii="Times New Roman" w:hAnsi="Times New Roman"/>
        </w:rPr>
        <w:t>iei, completurilor de 5 judecători sau Sec</w:t>
      </w:r>
      <w:r w:rsidR="00142D11">
        <w:rPr>
          <w:rFonts w:ascii="Times New Roman" w:hAnsi="Times New Roman"/>
        </w:rPr>
        <w:t>ț</w:t>
      </w:r>
      <w:r w:rsidRPr="00DD6488">
        <w:rPr>
          <w:rFonts w:ascii="Times New Roman" w:hAnsi="Times New Roman"/>
        </w:rPr>
        <w:t>iilor Unite, astfel cum aceasta este expres reglementată de lege, respectiv, apelurile sau recursurile declarate împotriva hotărârilor în privin</w:t>
      </w:r>
      <w:r w:rsidR="00142D11">
        <w:rPr>
          <w:rFonts w:ascii="Times New Roman" w:hAnsi="Times New Roman"/>
        </w:rPr>
        <w:t>ț</w:t>
      </w:r>
      <w:r w:rsidRPr="00DD6488">
        <w:rPr>
          <w:rFonts w:ascii="Times New Roman" w:hAnsi="Times New Roman"/>
        </w:rPr>
        <w:t xml:space="preserve">a cărora </w:t>
      </w:r>
      <w:r w:rsidRPr="00DD6488">
        <w:rPr>
          <w:rFonts w:ascii="Times New Roman" w:hAnsi="Times New Roman"/>
          <w:i/>
          <w:iCs/>
        </w:rPr>
        <w:t>legea prevede expres că nu sunt supuse unei asemenea căi de atac</w:t>
      </w:r>
      <w:r w:rsidRPr="00DD6488">
        <w:rPr>
          <w:rFonts w:ascii="Times New Roman" w:hAnsi="Times New Roman"/>
        </w:rPr>
        <w:t xml:space="preserve">, </w:t>
      </w:r>
      <w:r w:rsidRPr="00DD6488">
        <w:rPr>
          <w:rFonts w:ascii="Times New Roman" w:hAnsi="Times New Roman"/>
          <w:i/>
          <w:iCs/>
        </w:rPr>
        <w:t>recursurile declarate împotriva hotărârilor definitive</w:t>
      </w:r>
      <w:r w:rsidRPr="00DD6488">
        <w:rPr>
          <w:rFonts w:ascii="Times New Roman" w:hAnsi="Times New Roman"/>
        </w:rPr>
        <w:t xml:space="preserve"> ori căile de atac exercitate împotriva hotărârilor care, în exprimarea legii, </w:t>
      </w:r>
      <w:r w:rsidRPr="00DD6488">
        <w:rPr>
          <w:rFonts w:ascii="Times New Roman" w:hAnsi="Times New Roman"/>
          <w:i/>
          <w:iCs/>
        </w:rPr>
        <w:t xml:space="preserve">sunt date fără cale de atac sau nu supuse niciunei căi de atac. </w:t>
      </w:r>
      <w:r w:rsidRPr="00DD6488">
        <w:rPr>
          <w:rFonts w:ascii="Times New Roman" w:hAnsi="Times New Roman"/>
        </w:rPr>
        <w:t>Textul legal propus vizează două paliere:</w:t>
      </w:r>
    </w:p>
    <w:p w14:paraId="3F667C50" w14:textId="3346852B" w:rsidR="00AA375F" w:rsidRPr="00DD6488" w:rsidRDefault="00AA375F" w:rsidP="00AA375F">
      <w:pPr>
        <w:pStyle w:val="ListParagraph"/>
        <w:numPr>
          <w:ilvl w:val="0"/>
          <w:numId w:val="5"/>
        </w:numPr>
        <w:spacing w:line="276" w:lineRule="auto"/>
        <w:jc w:val="both"/>
        <w:rPr>
          <w:rFonts w:ascii="Times New Roman" w:hAnsi="Times New Roman"/>
          <w:sz w:val="24"/>
          <w:szCs w:val="24"/>
        </w:rPr>
      </w:pPr>
      <w:r w:rsidRPr="00DD6488">
        <w:rPr>
          <w:rFonts w:ascii="Times New Roman" w:hAnsi="Times New Roman"/>
          <w:sz w:val="24"/>
          <w:szCs w:val="24"/>
        </w:rPr>
        <w:t xml:space="preserve">primul impune o analiză de </w:t>
      </w:r>
      <w:r w:rsidR="000D315C" w:rsidRPr="00DD6488">
        <w:rPr>
          <w:rFonts w:ascii="Times New Roman" w:hAnsi="Times New Roman"/>
          <w:b/>
          <w:bCs/>
          <w:sz w:val="24"/>
          <w:szCs w:val="24"/>
        </w:rPr>
        <w:t>competen</w:t>
      </w:r>
      <w:r w:rsidR="00142D11">
        <w:rPr>
          <w:rFonts w:ascii="Times New Roman" w:hAnsi="Times New Roman"/>
          <w:b/>
          <w:bCs/>
          <w:sz w:val="24"/>
          <w:szCs w:val="24"/>
        </w:rPr>
        <w:t>ț</w:t>
      </w:r>
      <w:r w:rsidR="000D315C" w:rsidRPr="00DD6488">
        <w:rPr>
          <w:rFonts w:ascii="Times New Roman" w:hAnsi="Times New Roman"/>
          <w:b/>
          <w:bCs/>
          <w:sz w:val="24"/>
          <w:szCs w:val="24"/>
        </w:rPr>
        <w:t>ă</w:t>
      </w:r>
      <w:r w:rsidRPr="00DD6488">
        <w:rPr>
          <w:rFonts w:ascii="Times New Roman" w:hAnsi="Times New Roman"/>
          <w:b/>
          <w:bCs/>
          <w:sz w:val="24"/>
          <w:szCs w:val="24"/>
        </w:rPr>
        <w:t xml:space="preserve"> a sec</w:t>
      </w:r>
      <w:r w:rsidR="00142D11">
        <w:rPr>
          <w:rFonts w:ascii="Times New Roman" w:hAnsi="Times New Roman"/>
          <w:b/>
          <w:bCs/>
          <w:sz w:val="24"/>
          <w:szCs w:val="24"/>
        </w:rPr>
        <w:t>ț</w:t>
      </w:r>
      <w:r w:rsidRPr="00DD6488">
        <w:rPr>
          <w:rFonts w:ascii="Times New Roman" w:hAnsi="Times New Roman"/>
          <w:b/>
          <w:bCs/>
          <w:sz w:val="24"/>
          <w:szCs w:val="24"/>
        </w:rPr>
        <w:t>iei respective</w:t>
      </w:r>
    </w:p>
    <w:p w14:paraId="59BBEE70" w14:textId="5837760D" w:rsidR="00AA375F" w:rsidRPr="00DD6488" w:rsidRDefault="00AA375F" w:rsidP="00AA375F">
      <w:pPr>
        <w:pStyle w:val="ListParagraph"/>
        <w:numPr>
          <w:ilvl w:val="0"/>
          <w:numId w:val="5"/>
        </w:numPr>
        <w:spacing w:line="276" w:lineRule="auto"/>
        <w:jc w:val="both"/>
        <w:rPr>
          <w:rFonts w:ascii="Times New Roman" w:hAnsi="Times New Roman"/>
          <w:sz w:val="24"/>
          <w:szCs w:val="24"/>
        </w:rPr>
      </w:pPr>
      <w:r w:rsidRPr="00DD6488">
        <w:rPr>
          <w:rFonts w:ascii="Times New Roman" w:hAnsi="Times New Roman"/>
          <w:sz w:val="24"/>
          <w:szCs w:val="24"/>
        </w:rPr>
        <w:t xml:space="preserve">al doilea impune o analiză a </w:t>
      </w:r>
      <w:r w:rsidRPr="00DD6488">
        <w:rPr>
          <w:rFonts w:ascii="Times New Roman" w:hAnsi="Times New Roman"/>
          <w:b/>
          <w:bCs/>
          <w:sz w:val="24"/>
          <w:szCs w:val="24"/>
        </w:rPr>
        <w:t>admisibilită</w:t>
      </w:r>
      <w:r w:rsidR="00142D11">
        <w:rPr>
          <w:rFonts w:ascii="Times New Roman" w:hAnsi="Times New Roman"/>
          <w:b/>
          <w:bCs/>
          <w:sz w:val="24"/>
          <w:szCs w:val="24"/>
        </w:rPr>
        <w:t>ț</w:t>
      </w:r>
      <w:r w:rsidRPr="00DD6488">
        <w:rPr>
          <w:rFonts w:ascii="Times New Roman" w:hAnsi="Times New Roman"/>
          <w:b/>
          <w:bCs/>
          <w:sz w:val="24"/>
          <w:szCs w:val="24"/>
        </w:rPr>
        <w:t>ii căii de atac</w:t>
      </w:r>
      <w:r w:rsidRPr="00DD6488">
        <w:rPr>
          <w:rFonts w:ascii="Times New Roman" w:hAnsi="Times New Roman"/>
          <w:sz w:val="24"/>
          <w:szCs w:val="24"/>
        </w:rPr>
        <w:t>.</w:t>
      </w:r>
    </w:p>
    <w:p w14:paraId="19B735AD" w14:textId="5CC7F762" w:rsidR="00AA375F" w:rsidRPr="00DD6488" w:rsidRDefault="00AA375F" w:rsidP="00AA375F">
      <w:pPr>
        <w:spacing w:line="276" w:lineRule="auto"/>
        <w:ind w:firstLine="360"/>
        <w:jc w:val="both"/>
        <w:rPr>
          <w:rFonts w:ascii="Times New Roman" w:hAnsi="Times New Roman"/>
        </w:rPr>
      </w:pPr>
      <w:r w:rsidRPr="00DD6488">
        <w:rPr>
          <w:rFonts w:ascii="Times New Roman" w:hAnsi="Times New Roman"/>
        </w:rPr>
        <w:lastRenderedPageBreak/>
        <w:t xml:space="preserve">Considerăm că ambele aspecte trebuie analizate în cadrul unei proceduri contradictorii </w:t>
      </w:r>
      <w:r w:rsidR="00142D11">
        <w:rPr>
          <w:rFonts w:ascii="Times New Roman" w:hAnsi="Times New Roman"/>
        </w:rPr>
        <w:t>ș</w:t>
      </w:r>
      <w:r w:rsidRPr="00DD6488">
        <w:rPr>
          <w:rFonts w:ascii="Times New Roman" w:hAnsi="Times New Roman"/>
        </w:rPr>
        <w:t>i nu printr-un mecanism unilateral care se finalizează cu clasarea. Competen</w:t>
      </w:r>
      <w:r w:rsidR="00142D11">
        <w:rPr>
          <w:rFonts w:ascii="Times New Roman" w:hAnsi="Times New Roman"/>
        </w:rPr>
        <w:t>ț</w:t>
      </w:r>
      <w:r w:rsidRPr="00DD6488">
        <w:rPr>
          <w:rFonts w:ascii="Times New Roman" w:hAnsi="Times New Roman"/>
        </w:rPr>
        <w:t>a / necompeten</w:t>
      </w:r>
      <w:r w:rsidR="00142D11">
        <w:rPr>
          <w:rFonts w:ascii="Times New Roman" w:hAnsi="Times New Roman"/>
        </w:rPr>
        <w:t>ț</w:t>
      </w:r>
      <w:r w:rsidRPr="00DD6488">
        <w:rPr>
          <w:rFonts w:ascii="Times New Roman" w:hAnsi="Times New Roman"/>
        </w:rPr>
        <w:t>a sec</w:t>
      </w:r>
      <w:r w:rsidR="00142D11">
        <w:rPr>
          <w:rFonts w:ascii="Times New Roman" w:hAnsi="Times New Roman"/>
        </w:rPr>
        <w:t>ț</w:t>
      </w:r>
      <w:r w:rsidRPr="00DD6488">
        <w:rPr>
          <w:rFonts w:ascii="Times New Roman" w:hAnsi="Times New Roman"/>
        </w:rPr>
        <w:t xml:space="preserve">iei </w:t>
      </w:r>
      <w:r w:rsidR="00142D11">
        <w:rPr>
          <w:rFonts w:ascii="Times New Roman" w:hAnsi="Times New Roman"/>
        </w:rPr>
        <w:t>ș</w:t>
      </w:r>
      <w:r w:rsidRPr="00DD6488">
        <w:rPr>
          <w:rFonts w:ascii="Times New Roman" w:hAnsi="Times New Roman"/>
        </w:rPr>
        <w:t>i admisibilitatea / inadmisibilitatea căii de atac nu sunt aspecte „pur formale” care ar putea face obiectul unei proceduri de filtru a</w:t>
      </w:r>
      <w:r w:rsidR="00142D11">
        <w:rPr>
          <w:rFonts w:ascii="Times New Roman" w:hAnsi="Times New Roman"/>
        </w:rPr>
        <w:t>ș</w:t>
      </w:r>
      <w:r w:rsidRPr="00DD6488">
        <w:rPr>
          <w:rFonts w:ascii="Times New Roman" w:hAnsi="Times New Roman"/>
        </w:rPr>
        <w:t>a cum a statuat Decizia CCR 839/2015. Mai mult decât atât, cuvântul „evident” folosit cu privire la necompeten</w:t>
      </w:r>
      <w:r w:rsidR="00142D11">
        <w:rPr>
          <w:rFonts w:ascii="Times New Roman" w:hAnsi="Times New Roman"/>
        </w:rPr>
        <w:t>ț</w:t>
      </w:r>
      <w:r w:rsidRPr="00DD6488">
        <w:rPr>
          <w:rFonts w:ascii="Times New Roman" w:hAnsi="Times New Roman"/>
        </w:rPr>
        <w:t xml:space="preserve">ă este relativ, nefiind criterii de individualizare, context în care legea nu este clară </w:t>
      </w:r>
      <w:r w:rsidR="00142D11">
        <w:rPr>
          <w:rFonts w:ascii="Times New Roman" w:hAnsi="Times New Roman"/>
        </w:rPr>
        <w:t>ș</w:t>
      </w:r>
      <w:r w:rsidRPr="00DD6488">
        <w:rPr>
          <w:rFonts w:ascii="Times New Roman" w:hAnsi="Times New Roman"/>
        </w:rPr>
        <w:t>i previzibilă. În opinia noastră, textul legal, a</w:t>
      </w:r>
      <w:r w:rsidR="00142D11">
        <w:rPr>
          <w:rFonts w:ascii="Times New Roman" w:hAnsi="Times New Roman"/>
        </w:rPr>
        <w:t>ș</w:t>
      </w:r>
      <w:r w:rsidRPr="00DD6488">
        <w:rPr>
          <w:rFonts w:ascii="Times New Roman" w:hAnsi="Times New Roman"/>
        </w:rPr>
        <w:t>a cum a fost propus, este pretabil la argumente solide de neconstitu</w:t>
      </w:r>
      <w:r w:rsidR="00142D11">
        <w:rPr>
          <w:rFonts w:ascii="Times New Roman" w:hAnsi="Times New Roman"/>
        </w:rPr>
        <w:t>ț</w:t>
      </w:r>
      <w:r w:rsidRPr="00DD6488">
        <w:rPr>
          <w:rFonts w:ascii="Times New Roman" w:hAnsi="Times New Roman"/>
        </w:rPr>
        <w:t>ionalitate,  nefiind în ipoteza unui proces guvernat de principiile contradictorialită</w:t>
      </w:r>
      <w:r w:rsidR="00142D11">
        <w:rPr>
          <w:rFonts w:ascii="Times New Roman" w:hAnsi="Times New Roman"/>
        </w:rPr>
        <w:t>ț</w:t>
      </w:r>
      <w:r w:rsidRPr="00DD6488">
        <w:rPr>
          <w:rFonts w:ascii="Times New Roman" w:hAnsi="Times New Roman"/>
        </w:rPr>
        <w:t>ii, al oralită</w:t>
      </w:r>
      <w:r w:rsidR="00142D11">
        <w:rPr>
          <w:rFonts w:ascii="Times New Roman" w:hAnsi="Times New Roman"/>
        </w:rPr>
        <w:t>ț</w:t>
      </w:r>
      <w:r w:rsidRPr="00DD6488">
        <w:rPr>
          <w:rFonts w:ascii="Times New Roman" w:hAnsi="Times New Roman"/>
        </w:rPr>
        <w:t xml:space="preserve">ii procedurii </w:t>
      </w:r>
      <w:r w:rsidR="00142D11">
        <w:rPr>
          <w:rFonts w:ascii="Times New Roman" w:hAnsi="Times New Roman"/>
        </w:rPr>
        <w:t>ș</w:t>
      </w:r>
      <w:r w:rsidRPr="00DD6488">
        <w:rPr>
          <w:rFonts w:ascii="Times New Roman" w:hAnsi="Times New Roman"/>
        </w:rPr>
        <w:t>i al transparen</w:t>
      </w:r>
      <w:r w:rsidR="00142D11">
        <w:rPr>
          <w:rFonts w:ascii="Times New Roman" w:hAnsi="Times New Roman"/>
        </w:rPr>
        <w:t>ț</w:t>
      </w:r>
      <w:r w:rsidRPr="00DD6488">
        <w:rPr>
          <w:rFonts w:ascii="Times New Roman" w:hAnsi="Times New Roman"/>
        </w:rPr>
        <w:t>ei actului de justi</w:t>
      </w:r>
      <w:r w:rsidR="00142D11">
        <w:rPr>
          <w:rFonts w:ascii="Times New Roman" w:hAnsi="Times New Roman"/>
        </w:rPr>
        <w:t>ț</w:t>
      </w:r>
      <w:r w:rsidRPr="00DD6488">
        <w:rPr>
          <w:rFonts w:ascii="Times New Roman" w:hAnsi="Times New Roman"/>
        </w:rPr>
        <w:t>ie, asigurându-se, în acest fel, încrederea cetă</w:t>
      </w:r>
      <w:r w:rsidR="00142D11">
        <w:rPr>
          <w:rFonts w:ascii="Times New Roman" w:hAnsi="Times New Roman"/>
        </w:rPr>
        <w:t>ț</w:t>
      </w:r>
      <w:r w:rsidRPr="00DD6488">
        <w:rPr>
          <w:rFonts w:ascii="Times New Roman" w:hAnsi="Times New Roman"/>
        </w:rPr>
        <w:t xml:space="preserve">eanului în modul de realizare a acestuia (Decizia CCR nr. 839/2020). </w:t>
      </w:r>
    </w:p>
    <w:p w14:paraId="2492F269" w14:textId="4FECDC69" w:rsidR="00AA375F" w:rsidRPr="00DD6488" w:rsidRDefault="00AA375F" w:rsidP="00AA375F">
      <w:pPr>
        <w:spacing w:line="276" w:lineRule="auto"/>
        <w:ind w:firstLine="360"/>
        <w:jc w:val="both"/>
        <w:rPr>
          <w:rFonts w:ascii="Times New Roman" w:hAnsi="Times New Roman"/>
        </w:rPr>
      </w:pPr>
      <w:r w:rsidRPr="00DD6488">
        <w:rPr>
          <w:rFonts w:ascii="Times New Roman" w:hAnsi="Times New Roman"/>
        </w:rPr>
        <w:t xml:space="preserve">Totodată, nu în toate cazurile enumerate în propunerea legislativă ar fi evident </w:t>
      </w:r>
      <w:r w:rsidR="00142D11">
        <w:rPr>
          <w:rFonts w:ascii="Times New Roman" w:hAnsi="Times New Roman"/>
        </w:rPr>
        <w:t>ș</w:t>
      </w:r>
      <w:r w:rsidRPr="00DD6488">
        <w:rPr>
          <w:rFonts w:ascii="Times New Roman" w:hAnsi="Times New Roman"/>
        </w:rPr>
        <w:t>i clar că există o inadmisibilitate a căii de atac, ceea ce ar impune, fără discu</w:t>
      </w:r>
      <w:r w:rsidR="00142D11">
        <w:rPr>
          <w:rFonts w:ascii="Times New Roman" w:hAnsi="Times New Roman"/>
        </w:rPr>
        <w:t>ț</w:t>
      </w:r>
      <w:r w:rsidRPr="00DD6488">
        <w:rPr>
          <w:rFonts w:ascii="Times New Roman" w:hAnsi="Times New Roman"/>
        </w:rPr>
        <w:t>ii, clasarea respectivei căi de atac (de exemplu în situa</w:t>
      </w:r>
      <w:r w:rsidR="00142D11">
        <w:rPr>
          <w:rFonts w:ascii="Times New Roman" w:hAnsi="Times New Roman"/>
        </w:rPr>
        <w:t>ț</w:t>
      </w:r>
      <w:r w:rsidRPr="00DD6488">
        <w:rPr>
          <w:rFonts w:ascii="Times New Roman" w:hAnsi="Times New Roman"/>
        </w:rPr>
        <w:t>ia cererilor evaluabile / neevaluabile în bani).</w:t>
      </w:r>
    </w:p>
    <w:p w14:paraId="346A6157" w14:textId="616A3298" w:rsidR="00AA375F" w:rsidRPr="00DD6488" w:rsidRDefault="00AA375F" w:rsidP="00AA375F">
      <w:pPr>
        <w:spacing w:line="276" w:lineRule="auto"/>
        <w:ind w:firstLine="360"/>
        <w:jc w:val="both"/>
        <w:rPr>
          <w:rFonts w:ascii="Times New Roman" w:hAnsi="Times New Roman"/>
        </w:rPr>
      </w:pPr>
      <w:r w:rsidRPr="00DD6488">
        <w:rPr>
          <w:rFonts w:ascii="Times New Roman" w:hAnsi="Times New Roman"/>
        </w:rPr>
        <w:t xml:space="preserve">Al treilea caz de clasare se referă la ipoteza cererilor care </w:t>
      </w:r>
      <w:r w:rsidRPr="00DD6488">
        <w:rPr>
          <w:rFonts w:ascii="Times New Roman" w:hAnsi="Times New Roman"/>
          <w:i/>
          <w:iCs/>
        </w:rPr>
        <w:t>sunt în mod esen</w:t>
      </w:r>
      <w:r w:rsidR="00142D11">
        <w:rPr>
          <w:rFonts w:ascii="Times New Roman" w:hAnsi="Times New Roman"/>
          <w:i/>
          <w:iCs/>
        </w:rPr>
        <w:t>ț</w:t>
      </w:r>
      <w:r w:rsidRPr="00DD6488">
        <w:rPr>
          <w:rFonts w:ascii="Times New Roman" w:hAnsi="Times New Roman"/>
          <w:i/>
          <w:iCs/>
        </w:rPr>
        <w:t>ial identice cu o cerere examinată anterior</w:t>
      </w:r>
      <w:r w:rsidRPr="00DD6488">
        <w:rPr>
          <w:rFonts w:ascii="Times New Roman" w:hAnsi="Times New Roman"/>
        </w:rPr>
        <w:t xml:space="preserve"> </w:t>
      </w:r>
      <w:r w:rsidR="00142D11">
        <w:rPr>
          <w:rFonts w:ascii="Times New Roman" w:hAnsi="Times New Roman"/>
        </w:rPr>
        <w:t>ș</w:t>
      </w:r>
      <w:r w:rsidRPr="00DD6488">
        <w:rPr>
          <w:rFonts w:ascii="Times New Roman" w:hAnsi="Times New Roman"/>
        </w:rPr>
        <w:t>i nu con</w:t>
      </w:r>
      <w:r w:rsidR="00142D11">
        <w:rPr>
          <w:rFonts w:ascii="Times New Roman" w:hAnsi="Times New Roman"/>
        </w:rPr>
        <w:t>ț</w:t>
      </w:r>
      <w:r w:rsidRPr="00DD6488">
        <w:rPr>
          <w:rFonts w:ascii="Times New Roman" w:hAnsi="Times New Roman"/>
        </w:rPr>
        <w:t>in elemente noi fa</w:t>
      </w:r>
      <w:r w:rsidR="00142D11">
        <w:rPr>
          <w:rFonts w:ascii="Times New Roman" w:hAnsi="Times New Roman"/>
        </w:rPr>
        <w:t>ț</w:t>
      </w:r>
      <w:r w:rsidRPr="00DD6488">
        <w:rPr>
          <w:rFonts w:ascii="Times New Roman" w:hAnsi="Times New Roman"/>
        </w:rPr>
        <w:t>ă de cererea anterioară. Acest caz al identită</w:t>
      </w:r>
      <w:r w:rsidR="00142D11">
        <w:rPr>
          <w:rFonts w:ascii="Times New Roman" w:hAnsi="Times New Roman"/>
        </w:rPr>
        <w:t>ț</w:t>
      </w:r>
      <w:r w:rsidRPr="00DD6488">
        <w:rPr>
          <w:rFonts w:ascii="Times New Roman" w:hAnsi="Times New Roman"/>
        </w:rPr>
        <w:t>i</w:t>
      </w:r>
      <w:r w:rsidR="00840B29" w:rsidRPr="00DD6488">
        <w:rPr>
          <w:rFonts w:ascii="Times New Roman" w:hAnsi="Times New Roman"/>
        </w:rPr>
        <w:t>i</w:t>
      </w:r>
      <w:r w:rsidRPr="00DD6488">
        <w:rPr>
          <w:rFonts w:ascii="Times New Roman" w:hAnsi="Times New Roman"/>
        </w:rPr>
        <w:t xml:space="preserve"> de cereri poate să atragă o inadmisibilitate sau chiar o respingere ca nefondată, dar </w:t>
      </w:r>
      <w:r w:rsidR="00DD6488" w:rsidRPr="00DD6488">
        <w:rPr>
          <w:rFonts w:ascii="Times New Roman" w:hAnsi="Times New Roman"/>
        </w:rPr>
        <w:t>aceste</w:t>
      </w:r>
      <w:r w:rsidRPr="00DD6488">
        <w:rPr>
          <w:rFonts w:ascii="Times New Roman" w:hAnsi="Times New Roman"/>
        </w:rPr>
        <w:t xml:space="preserve"> sanc</w:t>
      </w:r>
      <w:r w:rsidR="00142D11">
        <w:rPr>
          <w:rFonts w:ascii="Times New Roman" w:hAnsi="Times New Roman"/>
        </w:rPr>
        <w:t>ț</w:t>
      </w:r>
      <w:r w:rsidRPr="00DD6488">
        <w:rPr>
          <w:rFonts w:ascii="Times New Roman" w:hAnsi="Times New Roman"/>
        </w:rPr>
        <w:t>iuni pot fi pronun</w:t>
      </w:r>
      <w:r w:rsidR="00142D11">
        <w:rPr>
          <w:rFonts w:ascii="Times New Roman" w:hAnsi="Times New Roman"/>
        </w:rPr>
        <w:t>ț</w:t>
      </w:r>
      <w:r w:rsidRPr="00DD6488">
        <w:rPr>
          <w:rFonts w:ascii="Times New Roman" w:hAnsi="Times New Roman"/>
        </w:rPr>
        <w:t>ate numai în urma unei dezbateri contradictorii. O cerere care este în mod esen</w:t>
      </w:r>
      <w:r w:rsidR="00142D11">
        <w:rPr>
          <w:rFonts w:ascii="Times New Roman" w:hAnsi="Times New Roman"/>
        </w:rPr>
        <w:t>ț</w:t>
      </w:r>
      <w:r w:rsidRPr="00DD6488">
        <w:rPr>
          <w:rFonts w:ascii="Times New Roman" w:hAnsi="Times New Roman"/>
        </w:rPr>
        <w:t xml:space="preserve">ial identică cu o cerere examinată anterior </w:t>
      </w:r>
      <w:r w:rsidRPr="00DD6488">
        <w:rPr>
          <w:rFonts w:ascii="Times New Roman" w:hAnsi="Times New Roman"/>
          <w:b/>
          <w:bCs/>
        </w:rPr>
        <w:t xml:space="preserve">poate implica </w:t>
      </w:r>
      <w:r w:rsidR="00142D11">
        <w:rPr>
          <w:rFonts w:ascii="Times New Roman" w:hAnsi="Times New Roman"/>
          <w:b/>
          <w:bCs/>
        </w:rPr>
        <w:t>ș</w:t>
      </w:r>
      <w:r w:rsidRPr="00DD6488">
        <w:rPr>
          <w:rFonts w:ascii="Times New Roman" w:hAnsi="Times New Roman"/>
          <w:b/>
          <w:bCs/>
        </w:rPr>
        <w:t>i o problemă de autoritate de lucru judecat, aspect care în mod obligatoriu ar trebui tran</w:t>
      </w:r>
      <w:r w:rsidR="00142D11">
        <w:rPr>
          <w:rFonts w:ascii="Times New Roman" w:hAnsi="Times New Roman"/>
          <w:b/>
          <w:bCs/>
        </w:rPr>
        <w:t>ș</w:t>
      </w:r>
      <w:r w:rsidRPr="00DD6488">
        <w:rPr>
          <w:rFonts w:ascii="Times New Roman" w:hAnsi="Times New Roman"/>
          <w:b/>
          <w:bCs/>
        </w:rPr>
        <w:t>at într-o procedură contradictorie</w:t>
      </w:r>
      <w:r w:rsidRPr="00DD6488">
        <w:rPr>
          <w:rFonts w:ascii="Times New Roman" w:hAnsi="Times New Roman"/>
        </w:rPr>
        <w:t>, în sens contrar textul legal fiind neconstitu</w:t>
      </w:r>
      <w:r w:rsidR="00142D11">
        <w:rPr>
          <w:rFonts w:ascii="Times New Roman" w:hAnsi="Times New Roman"/>
        </w:rPr>
        <w:t>ț</w:t>
      </w:r>
      <w:r w:rsidRPr="00DD6488">
        <w:rPr>
          <w:rFonts w:ascii="Times New Roman" w:hAnsi="Times New Roman"/>
        </w:rPr>
        <w:t xml:space="preserve">ional. De asemenea, textul legal nu este previzibil </w:t>
      </w:r>
      <w:r w:rsidR="00142D11">
        <w:rPr>
          <w:rFonts w:ascii="Times New Roman" w:hAnsi="Times New Roman"/>
        </w:rPr>
        <w:t>ș</w:t>
      </w:r>
      <w:r w:rsidRPr="00DD6488">
        <w:rPr>
          <w:rFonts w:ascii="Times New Roman" w:hAnsi="Times New Roman"/>
        </w:rPr>
        <w:t>i predictibil ceea ce îl va face dificil la aplicare, cu consecin</w:t>
      </w:r>
      <w:r w:rsidR="00142D11">
        <w:rPr>
          <w:rFonts w:ascii="Times New Roman" w:hAnsi="Times New Roman"/>
        </w:rPr>
        <w:t>ț</w:t>
      </w:r>
      <w:r w:rsidRPr="00DD6488">
        <w:rPr>
          <w:rFonts w:ascii="Times New Roman" w:hAnsi="Times New Roman"/>
        </w:rPr>
        <w:t xml:space="preserve">e în planul declarării sale ca </w:t>
      </w:r>
      <w:r w:rsidR="00142D11" w:rsidRPr="00DD6488">
        <w:rPr>
          <w:rFonts w:ascii="Times New Roman" w:hAnsi="Times New Roman"/>
        </w:rPr>
        <w:t>neconstitu</w:t>
      </w:r>
      <w:r w:rsidR="00142D11">
        <w:rPr>
          <w:rFonts w:ascii="Times New Roman" w:hAnsi="Times New Roman"/>
        </w:rPr>
        <w:t>ț</w:t>
      </w:r>
      <w:r w:rsidR="00142D11" w:rsidRPr="00DD6488">
        <w:rPr>
          <w:rFonts w:ascii="Times New Roman" w:hAnsi="Times New Roman"/>
        </w:rPr>
        <w:t>ional</w:t>
      </w:r>
      <w:r w:rsidRPr="00DD6488">
        <w:rPr>
          <w:rFonts w:ascii="Times New Roman" w:hAnsi="Times New Roman"/>
        </w:rPr>
        <w:t>.</w:t>
      </w:r>
    </w:p>
    <w:p w14:paraId="70250D1C" w14:textId="664B56E7" w:rsidR="00AA375F" w:rsidRPr="00DD6488" w:rsidRDefault="00AA375F" w:rsidP="00AA375F">
      <w:pPr>
        <w:spacing w:line="276" w:lineRule="auto"/>
        <w:ind w:firstLine="360"/>
        <w:jc w:val="both"/>
        <w:rPr>
          <w:rFonts w:ascii="Times New Roman" w:hAnsi="Times New Roman"/>
        </w:rPr>
      </w:pPr>
      <w:r w:rsidRPr="00DD6488">
        <w:rPr>
          <w:rFonts w:ascii="Times New Roman" w:hAnsi="Times New Roman"/>
        </w:rPr>
        <w:t xml:space="preserve">Este evident că argumentele faptice statistice </w:t>
      </w:r>
      <w:r w:rsidR="00142D11">
        <w:rPr>
          <w:rFonts w:ascii="Times New Roman" w:hAnsi="Times New Roman"/>
        </w:rPr>
        <w:t>ș</w:t>
      </w:r>
      <w:r w:rsidR="00142D11" w:rsidRPr="00DD6488">
        <w:rPr>
          <w:rFonts w:ascii="Times New Roman" w:hAnsi="Times New Roman"/>
        </w:rPr>
        <w:t>i</w:t>
      </w:r>
      <w:r w:rsidRPr="00DD6488">
        <w:rPr>
          <w:rFonts w:ascii="Times New Roman" w:hAnsi="Times New Roman"/>
        </w:rPr>
        <w:t xml:space="preserve"> de impact bugetar </w:t>
      </w:r>
      <w:r w:rsidR="00142D11" w:rsidRPr="00DD6488">
        <w:rPr>
          <w:rFonts w:ascii="Times New Roman" w:hAnsi="Times New Roman"/>
        </w:rPr>
        <w:t>enun</w:t>
      </w:r>
      <w:r w:rsidR="00142D11">
        <w:rPr>
          <w:rFonts w:ascii="Times New Roman" w:hAnsi="Times New Roman"/>
        </w:rPr>
        <w:t>ț</w:t>
      </w:r>
      <w:r w:rsidR="00142D11" w:rsidRPr="00DD6488">
        <w:rPr>
          <w:rFonts w:ascii="Times New Roman" w:hAnsi="Times New Roman"/>
        </w:rPr>
        <w:t>ate</w:t>
      </w:r>
      <w:r w:rsidRPr="00DD6488">
        <w:rPr>
          <w:rFonts w:ascii="Times New Roman" w:hAnsi="Times New Roman"/>
        </w:rPr>
        <w:t xml:space="preserve"> în expunerea de motive </w:t>
      </w:r>
      <w:r w:rsidRPr="00DD6488">
        <w:rPr>
          <w:rFonts w:ascii="Times New Roman" w:hAnsi="Times New Roman"/>
          <w:b/>
          <w:bCs/>
        </w:rPr>
        <w:t>justifică pe deplin gândirea unei proceduri legale flexibile, rapide de sanc</w:t>
      </w:r>
      <w:r w:rsidR="00142D11">
        <w:rPr>
          <w:rFonts w:ascii="Times New Roman" w:hAnsi="Times New Roman"/>
          <w:b/>
          <w:bCs/>
        </w:rPr>
        <w:t>ț</w:t>
      </w:r>
      <w:r w:rsidRPr="00DD6488">
        <w:rPr>
          <w:rFonts w:ascii="Times New Roman" w:hAnsi="Times New Roman"/>
          <w:b/>
          <w:bCs/>
        </w:rPr>
        <w:t>ionare a unor asemenea cereri informe sau inteligibile, chiar instituire unei proceduri veritabile de filtru</w:t>
      </w:r>
      <w:r w:rsidRPr="00DD6488">
        <w:rPr>
          <w:rFonts w:ascii="Times New Roman" w:hAnsi="Times New Roman"/>
        </w:rPr>
        <w:t>. Este la fel de adevărat că jurispruden</w:t>
      </w:r>
      <w:r w:rsidR="00142D11">
        <w:rPr>
          <w:rFonts w:ascii="Times New Roman" w:hAnsi="Times New Roman"/>
        </w:rPr>
        <w:t>ț</w:t>
      </w:r>
      <w:r w:rsidRPr="00DD6488">
        <w:rPr>
          <w:rFonts w:ascii="Times New Roman" w:hAnsi="Times New Roman"/>
        </w:rPr>
        <w:t xml:space="preserve">a CCR în materie de filtru nu a închis definitiv ideea unui filtru, legiuitorul putând regândi acest mecanism. Însă orice reglementare în domeniu a trebui să fie </w:t>
      </w:r>
      <w:r w:rsidR="00142D11">
        <w:rPr>
          <w:rFonts w:ascii="Times New Roman" w:hAnsi="Times New Roman"/>
        </w:rPr>
        <w:t>ș</w:t>
      </w:r>
      <w:r w:rsidRPr="00DD6488">
        <w:rPr>
          <w:rFonts w:ascii="Times New Roman" w:hAnsi="Times New Roman"/>
        </w:rPr>
        <w:t>i constitu</w:t>
      </w:r>
      <w:r w:rsidR="00142D11">
        <w:rPr>
          <w:rFonts w:ascii="Times New Roman" w:hAnsi="Times New Roman"/>
        </w:rPr>
        <w:t>ț</w:t>
      </w:r>
      <w:r w:rsidRPr="00DD6488">
        <w:rPr>
          <w:rFonts w:ascii="Times New Roman" w:hAnsi="Times New Roman"/>
        </w:rPr>
        <w:t>ională pentru a-</w:t>
      </w:r>
      <w:r w:rsidR="00142D11">
        <w:rPr>
          <w:rFonts w:ascii="Times New Roman" w:hAnsi="Times New Roman"/>
        </w:rPr>
        <w:t>ș</w:t>
      </w:r>
      <w:r w:rsidRPr="00DD6488">
        <w:rPr>
          <w:rFonts w:ascii="Times New Roman" w:hAnsi="Times New Roman"/>
        </w:rPr>
        <w:t>i atinge scopul, respectiv degrevarea instan</w:t>
      </w:r>
      <w:r w:rsidR="00142D11">
        <w:rPr>
          <w:rFonts w:ascii="Times New Roman" w:hAnsi="Times New Roman"/>
        </w:rPr>
        <w:t>ț</w:t>
      </w:r>
      <w:r w:rsidRPr="00DD6488">
        <w:rPr>
          <w:rFonts w:ascii="Times New Roman" w:hAnsi="Times New Roman"/>
        </w:rPr>
        <w:t>elor.</w:t>
      </w:r>
    </w:p>
    <w:p w14:paraId="5874E873" w14:textId="412574EA" w:rsidR="00AA375F" w:rsidRPr="00DD6488" w:rsidRDefault="00AA375F" w:rsidP="00AA375F">
      <w:pPr>
        <w:spacing w:line="276" w:lineRule="auto"/>
        <w:ind w:firstLine="360"/>
        <w:jc w:val="both"/>
        <w:rPr>
          <w:rFonts w:ascii="Times New Roman" w:hAnsi="Times New Roman"/>
        </w:rPr>
      </w:pPr>
      <w:r w:rsidRPr="00DD6488">
        <w:rPr>
          <w:rFonts w:ascii="Times New Roman" w:hAnsi="Times New Roman"/>
        </w:rPr>
        <w:t xml:space="preserve">În ceea ce </w:t>
      </w:r>
      <w:r w:rsidR="00840B29" w:rsidRPr="00DD6488">
        <w:rPr>
          <w:rFonts w:ascii="Times New Roman" w:hAnsi="Times New Roman"/>
        </w:rPr>
        <w:t xml:space="preserve">ne </w:t>
      </w:r>
      <w:r w:rsidRPr="00DD6488">
        <w:rPr>
          <w:rFonts w:ascii="Times New Roman" w:hAnsi="Times New Roman"/>
        </w:rPr>
        <w:t>prive</w:t>
      </w:r>
      <w:r w:rsidR="00142D11">
        <w:rPr>
          <w:rFonts w:ascii="Times New Roman" w:hAnsi="Times New Roman"/>
        </w:rPr>
        <w:t>ș</w:t>
      </w:r>
      <w:r w:rsidRPr="00DD6488">
        <w:rPr>
          <w:rFonts w:ascii="Times New Roman" w:hAnsi="Times New Roman"/>
        </w:rPr>
        <w:t>te</w:t>
      </w:r>
      <w:r w:rsidR="00840B29" w:rsidRPr="00DD6488">
        <w:rPr>
          <w:rFonts w:ascii="Times New Roman" w:hAnsi="Times New Roman"/>
        </w:rPr>
        <w:t>,</w:t>
      </w:r>
      <w:r w:rsidRPr="00DD6488">
        <w:rPr>
          <w:rFonts w:ascii="Times New Roman" w:hAnsi="Times New Roman"/>
        </w:rPr>
        <w:t xml:space="preserve"> opinăm că </w:t>
      </w:r>
      <w:r w:rsidRPr="00DD6488">
        <w:rPr>
          <w:rFonts w:ascii="Times New Roman" w:hAnsi="Times New Roman"/>
          <w:b/>
          <w:bCs/>
        </w:rPr>
        <w:t xml:space="preserve">este </w:t>
      </w:r>
      <w:r w:rsidR="00486CBE" w:rsidRPr="00DD6488">
        <w:rPr>
          <w:rFonts w:ascii="Times New Roman" w:hAnsi="Times New Roman"/>
          <w:b/>
          <w:bCs/>
        </w:rPr>
        <w:t>util un</w:t>
      </w:r>
      <w:r w:rsidRPr="00DD6488">
        <w:rPr>
          <w:rFonts w:ascii="Times New Roman" w:hAnsi="Times New Roman"/>
          <w:b/>
          <w:bCs/>
        </w:rPr>
        <w:t xml:space="preserve"> filtru, cel pu</w:t>
      </w:r>
      <w:r w:rsidR="00142D11">
        <w:rPr>
          <w:rFonts w:ascii="Times New Roman" w:hAnsi="Times New Roman"/>
          <w:b/>
          <w:bCs/>
        </w:rPr>
        <w:t>ț</w:t>
      </w:r>
      <w:r w:rsidRPr="00DD6488">
        <w:rPr>
          <w:rFonts w:ascii="Times New Roman" w:hAnsi="Times New Roman"/>
          <w:b/>
          <w:bCs/>
        </w:rPr>
        <w:t>in în cazul recursurilor la nivelul instan</w:t>
      </w:r>
      <w:r w:rsidR="00142D11">
        <w:rPr>
          <w:rFonts w:ascii="Times New Roman" w:hAnsi="Times New Roman"/>
          <w:b/>
          <w:bCs/>
        </w:rPr>
        <w:t>ț</w:t>
      </w:r>
      <w:r w:rsidRPr="00DD6488">
        <w:rPr>
          <w:rFonts w:ascii="Times New Roman" w:hAnsi="Times New Roman"/>
          <w:b/>
          <w:bCs/>
        </w:rPr>
        <w:t>ei supreme</w:t>
      </w:r>
      <w:r w:rsidRPr="00DD6488">
        <w:rPr>
          <w:rFonts w:ascii="Times New Roman" w:hAnsi="Times New Roman"/>
        </w:rPr>
        <w:t>, procedură care să înlăture toate aspectele de neconstitu</w:t>
      </w:r>
      <w:r w:rsidR="00142D11">
        <w:rPr>
          <w:rFonts w:ascii="Times New Roman" w:hAnsi="Times New Roman"/>
        </w:rPr>
        <w:t>ț</w:t>
      </w:r>
      <w:r w:rsidRPr="00DD6488">
        <w:rPr>
          <w:rFonts w:ascii="Times New Roman" w:hAnsi="Times New Roman"/>
        </w:rPr>
        <w:t>ionalitate re</w:t>
      </w:r>
      <w:r w:rsidR="00142D11">
        <w:rPr>
          <w:rFonts w:ascii="Times New Roman" w:hAnsi="Times New Roman"/>
        </w:rPr>
        <w:t>ț</w:t>
      </w:r>
      <w:r w:rsidRPr="00DD6488">
        <w:rPr>
          <w:rFonts w:ascii="Times New Roman" w:hAnsi="Times New Roman"/>
        </w:rPr>
        <w:t>inute de Decizia CCR nr. 839/2015</w:t>
      </w:r>
      <w:r w:rsidR="00486CBE" w:rsidRPr="00DD6488">
        <w:rPr>
          <w:rFonts w:ascii="Times New Roman" w:hAnsi="Times New Roman"/>
        </w:rPr>
        <w:t xml:space="preserve">, dar un filtru nu </w:t>
      </w:r>
      <w:r w:rsidR="000D315C" w:rsidRPr="00DD6488">
        <w:rPr>
          <w:rFonts w:ascii="Times New Roman" w:hAnsi="Times New Roman"/>
        </w:rPr>
        <w:t>înseamnă</w:t>
      </w:r>
      <w:r w:rsidR="00486CBE" w:rsidRPr="00DD6488">
        <w:rPr>
          <w:rFonts w:ascii="Times New Roman" w:hAnsi="Times New Roman"/>
        </w:rPr>
        <w:t xml:space="preserve"> </w:t>
      </w:r>
      <w:r w:rsidR="00637CC7" w:rsidRPr="00DD6488">
        <w:rPr>
          <w:rFonts w:ascii="Times New Roman" w:hAnsi="Times New Roman"/>
        </w:rPr>
        <w:t>neapărat</w:t>
      </w:r>
      <w:r w:rsidR="00486CBE" w:rsidRPr="00DD6488">
        <w:rPr>
          <w:rFonts w:ascii="Times New Roman" w:hAnsi="Times New Roman"/>
        </w:rPr>
        <w:t xml:space="preserve"> o procedur</w:t>
      </w:r>
      <w:r w:rsidR="000D315C" w:rsidRPr="00DD6488">
        <w:rPr>
          <w:rFonts w:ascii="Times New Roman" w:hAnsi="Times New Roman"/>
        </w:rPr>
        <w:t>ă î</w:t>
      </w:r>
      <w:r w:rsidR="00486CBE" w:rsidRPr="00DD6488">
        <w:rPr>
          <w:rFonts w:ascii="Times New Roman" w:hAnsi="Times New Roman"/>
        </w:rPr>
        <w:t xml:space="preserve">n sine, ci poate veni si din impunerea unor </w:t>
      </w:r>
      <w:r w:rsidR="000D315C" w:rsidRPr="00DD6488">
        <w:rPr>
          <w:rFonts w:ascii="Times New Roman" w:hAnsi="Times New Roman"/>
        </w:rPr>
        <w:t>garan</w:t>
      </w:r>
      <w:r w:rsidR="00142D11">
        <w:rPr>
          <w:rFonts w:ascii="Times New Roman" w:hAnsi="Times New Roman"/>
        </w:rPr>
        <w:t>ț</w:t>
      </w:r>
      <w:r w:rsidR="000D315C" w:rsidRPr="00DD6488">
        <w:rPr>
          <w:rFonts w:ascii="Times New Roman" w:hAnsi="Times New Roman"/>
        </w:rPr>
        <w:t>ii</w:t>
      </w:r>
      <w:r w:rsidR="00486CBE" w:rsidRPr="00DD6488">
        <w:rPr>
          <w:rFonts w:ascii="Times New Roman" w:hAnsi="Times New Roman"/>
        </w:rPr>
        <w:t xml:space="preserve"> de profesionalism </w:t>
      </w:r>
      <w:r w:rsidR="000D315C" w:rsidRPr="00DD6488">
        <w:rPr>
          <w:rFonts w:ascii="Times New Roman" w:hAnsi="Times New Roman"/>
        </w:rPr>
        <w:t>î</w:t>
      </w:r>
      <w:r w:rsidR="00486CBE" w:rsidRPr="00DD6488">
        <w:rPr>
          <w:rFonts w:ascii="Times New Roman" w:hAnsi="Times New Roman"/>
        </w:rPr>
        <w:t xml:space="preserve">n </w:t>
      </w:r>
      <w:r w:rsidR="000D315C" w:rsidRPr="00DD6488">
        <w:rPr>
          <w:rFonts w:ascii="Times New Roman" w:hAnsi="Times New Roman"/>
        </w:rPr>
        <w:t>privin</w:t>
      </w:r>
      <w:r w:rsidR="00142D11">
        <w:rPr>
          <w:rFonts w:ascii="Times New Roman" w:hAnsi="Times New Roman"/>
        </w:rPr>
        <w:t>ț</w:t>
      </w:r>
      <w:r w:rsidR="000D315C" w:rsidRPr="00DD6488">
        <w:rPr>
          <w:rFonts w:ascii="Times New Roman" w:hAnsi="Times New Roman"/>
        </w:rPr>
        <w:t>a</w:t>
      </w:r>
      <w:r w:rsidR="00486CBE" w:rsidRPr="00DD6488">
        <w:rPr>
          <w:rFonts w:ascii="Times New Roman" w:hAnsi="Times New Roman"/>
        </w:rPr>
        <w:t xml:space="preserve"> </w:t>
      </w:r>
      <w:r w:rsidR="000D315C" w:rsidRPr="00DD6488">
        <w:rPr>
          <w:rFonts w:ascii="Times New Roman" w:hAnsi="Times New Roman"/>
        </w:rPr>
        <w:t>redactării</w:t>
      </w:r>
      <w:r w:rsidR="00486CBE" w:rsidRPr="00DD6488">
        <w:rPr>
          <w:rFonts w:ascii="Times New Roman" w:hAnsi="Times New Roman"/>
        </w:rPr>
        <w:t xml:space="preserve"> cererilor</w:t>
      </w:r>
      <w:r w:rsidRPr="00DD6488">
        <w:rPr>
          <w:rFonts w:ascii="Times New Roman" w:hAnsi="Times New Roman"/>
        </w:rPr>
        <w:t xml:space="preserve">. În acest context, </w:t>
      </w:r>
      <w:r w:rsidRPr="00DD6488">
        <w:rPr>
          <w:rFonts w:ascii="Times New Roman" w:hAnsi="Times New Roman"/>
          <w:b/>
          <w:bCs/>
        </w:rPr>
        <w:t xml:space="preserve">trebuie redeschisă, discutată </w:t>
      </w:r>
      <w:r w:rsidR="00142D11">
        <w:rPr>
          <w:rFonts w:ascii="Times New Roman" w:hAnsi="Times New Roman"/>
          <w:b/>
          <w:bCs/>
        </w:rPr>
        <w:t>ș</w:t>
      </w:r>
      <w:r w:rsidRPr="00DD6488">
        <w:rPr>
          <w:rFonts w:ascii="Times New Roman" w:hAnsi="Times New Roman"/>
          <w:b/>
          <w:bCs/>
        </w:rPr>
        <w:t xml:space="preserve">i readoptată </w:t>
      </w:r>
      <w:r w:rsidR="000D315C" w:rsidRPr="00DD6488">
        <w:rPr>
          <w:rFonts w:ascii="Times New Roman" w:hAnsi="Times New Roman"/>
          <w:b/>
          <w:bCs/>
        </w:rPr>
        <w:t>solu</w:t>
      </w:r>
      <w:r w:rsidR="00142D11">
        <w:rPr>
          <w:rFonts w:ascii="Times New Roman" w:hAnsi="Times New Roman"/>
          <w:b/>
          <w:bCs/>
        </w:rPr>
        <w:t>ț</w:t>
      </w:r>
      <w:r w:rsidR="000D315C" w:rsidRPr="00DD6488">
        <w:rPr>
          <w:rFonts w:ascii="Times New Roman" w:hAnsi="Times New Roman"/>
          <w:b/>
          <w:bCs/>
        </w:rPr>
        <w:t>ia</w:t>
      </w:r>
      <w:r w:rsidRPr="00DD6488">
        <w:rPr>
          <w:rFonts w:ascii="Times New Roman" w:hAnsi="Times New Roman"/>
          <w:b/>
          <w:bCs/>
        </w:rPr>
        <w:t xml:space="preserve"> legislativă care impune reprezentarea obligatorie a avocatului pentru faza recursului, cel </w:t>
      </w:r>
      <w:r w:rsidR="000D315C" w:rsidRPr="00DD6488">
        <w:rPr>
          <w:rFonts w:ascii="Times New Roman" w:hAnsi="Times New Roman"/>
          <w:b/>
          <w:bCs/>
        </w:rPr>
        <w:t>pu</w:t>
      </w:r>
      <w:r w:rsidR="00142D11">
        <w:rPr>
          <w:rFonts w:ascii="Times New Roman" w:hAnsi="Times New Roman"/>
          <w:b/>
          <w:bCs/>
        </w:rPr>
        <w:t>ț</w:t>
      </w:r>
      <w:r w:rsidR="000D315C" w:rsidRPr="00DD6488">
        <w:rPr>
          <w:rFonts w:ascii="Times New Roman" w:hAnsi="Times New Roman"/>
          <w:b/>
          <w:bCs/>
        </w:rPr>
        <w:t>in</w:t>
      </w:r>
      <w:r w:rsidRPr="00DD6488">
        <w:rPr>
          <w:rFonts w:ascii="Times New Roman" w:hAnsi="Times New Roman"/>
          <w:b/>
          <w:bCs/>
        </w:rPr>
        <w:t xml:space="preserve"> la nivelul ÎCCJ</w:t>
      </w:r>
      <w:r w:rsidRPr="00DD6488">
        <w:rPr>
          <w:rFonts w:ascii="Times New Roman" w:hAnsi="Times New Roman"/>
        </w:rPr>
        <w:t>. Este adevărat că prin Decizia CCR nr. 462/2014 a</w:t>
      </w:r>
      <w:r w:rsidR="00840B29" w:rsidRPr="00DD6488">
        <w:rPr>
          <w:rFonts w:ascii="Times New Roman" w:hAnsi="Times New Roman"/>
        </w:rPr>
        <w:t>u</w:t>
      </w:r>
      <w:r w:rsidRPr="00DD6488">
        <w:rPr>
          <w:rFonts w:ascii="Times New Roman" w:hAnsi="Times New Roman"/>
        </w:rPr>
        <w:t xml:space="preserve"> fost declarate neconstitu</w:t>
      </w:r>
      <w:r w:rsidR="00142D11">
        <w:rPr>
          <w:rFonts w:ascii="Times New Roman" w:hAnsi="Times New Roman"/>
        </w:rPr>
        <w:t>ț</w:t>
      </w:r>
      <w:r w:rsidRPr="00DD6488">
        <w:rPr>
          <w:rFonts w:ascii="Times New Roman" w:hAnsi="Times New Roman"/>
        </w:rPr>
        <w:t>ionale dispozi</w:t>
      </w:r>
      <w:r w:rsidR="00142D11">
        <w:rPr>
          <w:rFonts w:ascii="Times New Roman" w:hAnsi="Times New Roman"/>
        </w:rPr>
        <w:t>ț</w:t>
      </w:r>
      <w:r w:rsidRPr="00DD6488">
        <w:rPr>
          <w:rFonts w:ascii="Times New Roman" w:hAnsi="Times New Roman"/>
        </w:rPr>
        <w:t>iile din Codul de procedură civilă cu privire la men</w:t>
      </w:r>
      <w:r w:rsidR="00142D11">
        <w:rPr>
          <w:rFonts w:ascii="Times New Roman" w:hAnsi="Times New Roman"/>
        </w:rPr>
        <w:t>ț</w:t>
      </w:r>
      <w:r w:rsidRPr="00DD6488">
        <w:rPr>
          <w:rFonts w:ascii="Times New Roman" w:hAnsi="Times New Roman"/>
        </w:rPr>
        <w:t xml:space="preserve">iunile ce decurgeau din obligativitatea formulării </w:t>
      </w:r>
      <w:r w:rsidR="00142D11">
        <w:rPr>
          <w:rFonts w:ascii="Times New Roman" w:hAnsi="Times New Roman"/>
        </w:rPr>
        <w:t>ș</w:t>
      </w:r>
      <w:r w:rsidRPr="00DD6488">
        <w:rPr>
          <w:rFonts w:ascii="Times New Roman" w:hAnsi="Times New Roman"/>
        </w:rPr>
        <w:t>i sus</w:t>
      </w:r>
      <w:r w:rsidR="00142D11">
        <w:rPr>
          <w:rFonts w:ascii="Times New Roman" w:hAnsi="Times New Roman"/>
        </w:rPr>
        <w:t>ț</w:t>
      </w:r>
      <w:r w:rsidRPr="00DD6488">
        <w:rPr>
          <w:rFonts w:ascii="Times New Roman" w:hAnsi="Times New Roman"/>
        </w:rPr>
        <w:t>inerii cererii de recurs prin avocat. Însă, această obligativitate poate fi reiterată legislativ, împreună cu o procedură de filtru, putând fi o op</w:t>
      </w:r>
      <w:r w:rsidR="00142D11">
        <w:rPr>
          <w:rFonts w:ascii="Times New Roman" w:hAnsi="Times New Roman"/>
        </w:rPr>
        <w:t>ț</w:t>
      </w:r>
      <w:r w:rsidRPr="00DD6488">
        <w:rPr>
          <w:rFonts w:ascii="Times New Roman" w:hAnsi="Times New Roman"/>
        </w:rPr>
        <w:t>iune legislativă constitu</w:t>
      </w:r>
      <w:r w:rsidR="00142D11">
        <w:rPr>
          <w:rFonts w:ascii="Times New Roman" w:hAnsi="Times New Roman"/>
        </w:rPr>
        <w:t>ț</w:t>
      </w:r>
      <w:r w:rsidRPr="00DD6488">
        <w:rPr>
          <w:rFonts w:ascii="Times New Roman" w:hAnsi="Times New Roman"/>
        </w:rPr>
        <w:t xml:space="preserve">ională dacă se va regla </w:t>
      </w:r>
      <w:r w:rsidR="00142D11">
        <w:rPr>
          <w:rFonts w:ascii="Times New Roman" w:hAnsi="Times New Roman"/>
        </w:rPr>
        <w:t>ș</w:t>
      </w:r>
      <w:r w:rsidRPr="00DD6488">
        <w:rPr>
          <w:rFonts w:ascii="Times New Roman" w:hAnsi="Times New Roman"/>
        </w:rPr>
        <w:t xml:space="preserve">i completa </w:t>
      </w:r>
      <w:r w:rsidR="00142D11">
        <w:rPr>
          <w:rFonts w:ascii="Times New Roman" w:hAnsi="Times New Roman"/>
        </w:rPr>
        <w:t>ș</w:t>
      </w:r>
      <w:r w:rsidRPr="00DD6488">
        <w:rPr>
          <w:rFonts w:ascii="Times New Roman" w:hAnsi="Times New Roman"/>
        </w:rPr>
        <w:t>i legisla</w:t>
      </w:r>
      <w:r w:rsidR="00142D11">
        <w:rPr>
          <w:rFonts w:ascii="Times New Roman" w:hAnsi="Times New Roman"/>
        </w:rPr>
        <w:t>ț</w:t>
      </w:r>
      <w:r w:rsidRPr="00DD6488">
        <w:rPr>
          <w:rFonts w:ascii="Times New Roman" w:hAnsi="Times New Roman"/>
        </w:rPr>
        <w:t>ia referitoare la ajutorul public judiciar (amintim faptul că declararea neconstitu</w:t>
      </w:r>
      <w:r w:rsidR="00142D11">
        <w:rPr>
          <w:rFonts w:ascii="Times New Roman" w:hAnsi="Times New Roman"/>
        </w:rPr>
        <w:t>ț</w:t>
      </w:r>
      <w:r w:rsidRPr="00DD6488">
        <w:rPr>
          <w:rFonts w:ascii="Times New Roman" w:hAnsi="Times New Roman"/>
        </w:rPr>
        <w:t>ională a obligativită</w:t>
      </w:r>
      <w:r w:rsidR="00142D11">
        <w:rPr>
          <w:rFonts w:ascii="Times New Roman" w:hAnsi="Times New Roman"/>
        </w:rPr>
        <w:t>ț</w:t>
      </w:r>
      <w:r w:rsidRPr="00DD6488">
        <w:rPr>
          <w:rFonts w:ascii="Times New Roman" w:hAnsi="Times New Roman"/>
        </w:rPr>
        <w:t>ii reprezentării prin avocat a fost pronun</w:t>
      </w:r>
      <w:r w:rsidR="00142D11">
        <w:rPr>
          <w:rFonts w:ascii="Times New Roman" w:hAnsi="Times New Roman"/>
        </w:rPr>
        <w:t>ț</w:t>
      </w:r>
      <w:r w:rsidRPr="00DD6488">
        <w:rPr>
          <w:rFonts w:ascii="Times New Roman" w:hAnsi="Times New Roman"/>
        </w:rPr>
        <w:t xml:space="preserve">ată prin raportare la lipsa </w:t>
      </w:r>
      <w:r w:rsidRPr="00DD6488">
        <w:rPr>
          <w:rFonts w:ascii="Times New Roman" w:hAnsi="Times New Roman"/>
        </w:rPr>
        <w:lastRenderedPageBreak/>
        <w:t xml:space="preserve">unor mecanisme reale </w:t>
      </w:r>
      <w:r w:rsidR="00142D11">
        <w:rPr>
          <w:rFonts w:ascii="Times New Roman" w:hAnsi="Times New Roman"/>
        </w:rPr>
        <w:t>ș</w:t>
      </w:r>
      <w:r w:rsidRPr="00DD6488">
        <w:rPr>
          <w:rFonts w:ascii="Times New Roman" w:hAnsi="Times New Roman"/>
        </w:rPr>
        <w:t xml:space="preserve">i rapide în </w:t>
      </w:r>
      <w:r w:rsidR="000D315C" w:rsidRPr="00DD6488">
        <w:rPr>
          <w:rFonts w:ascii="Times New Roman" w:hAnsi="Times New Roman"/>
        </w:rPr>
        <w:t>legisla</w:t>
      </w:r>
      <w:r w:rsidR="00142D11">
        <w:rPr>
          <w:rFonts w:ascii="Times New Roman" w:hAnsi="Times New Roman"/>
        </w:rPr>
        <w:t>ț</w:t>
      </w:r>
      <w:r w:rsidR="000D315C" w:rsidRPr="00DD6488">
        <w:rPr>
          <w:rFonts w:ascii="Times New Roman" w:hAnsi="Times New Roman"/>
        </w:rPr>
        <w:t>ia</w:t>
      </w:r>
      <w:r w:rsidRPr="00DD6488">
        <w:rPr>
          <w:rFonts w:ascii="Times New Roman" w:hAnsi="Times New Roman"/>
        </w:rPr>
        <w:t xml:space="preserve"> ajutorului public judiciar care să asigure un veritabil acces la </w:t>
      </w:r>
      <w:r w:rsidR="000D315C" w:rsidRPr="00DD6488">
        <w:rPr>
          <w:rFonts w:ascii="Times New Roman" w:hAnsi="Times New Roman"/>
        </w:rPr>
        <w:t>justi</w:t>
      </w:r>
      <w:r w:rsidR="00142D11">
        <w:rPr>
          <w:rFonts w:ascii="Times New Roman" w:hAnsi="Times New Roman"/>
        </w:rPr>
        <w:t>ț</w:t>
      </w:r>
      <w:r w:rsidR="000D315C" w:rsidRPr="00DD6488">
        <w:rPr>
          <w:rFonts w:ascii="Times New Roman" w:hAnsi="Times New Roman"/>
        </w:rPr>
        <w:t>ie</w:t>
      </w:r>
      <w:r w:rsidRPr="00DD6488">
        <w:rPr>
          <w:rStyle w:val="FootnoteReference"/>
          <w:rFonts w:ascii="Times New Roman" w:hAnsi="Times New Roman"/>
        </w:rPr>
        <w:footnoteReference w:id="2"/>
      </w:r>
      <w:r w:rsidRPr="00DD6488">
        <w:rPr>
          <w:rFonts w:ascii="Times New Roman" w:hAnsi="Times New Roman"/>
        </w:rPr>
        <w:t>).</w:t>
      </w:r>
    </w:p>
    <w:p w14:paraId="18067898" w14:textId="354B781E" w:rsidR="00AA375F" w:rsidRPr="00DD6488" w:rsidRDefault="00AA375F" w:rsidP="00AA375F">
      <w:pPr>
        <w:spacing w:line="276" w:lineRule="auto"/>
        <w:ind w:firstLine="360"/>
        <w:jc w:val="both"/>
        <w:rPr>
          <w:rFonts w:ascii="Times New Roman" w:hAnsi="Times New Roman"/>
          <w:b/>
          <w:bCs/>
        </w:rPr>
      </w:pPr>
      <w:r w:rsidRPr="00DD6488">
        <w:rPr>
          <w:rFonts w:ascii="Times New Roman" w:hAnsi="Times New Roman"/>
        </w:rPr>
        <w:t xml:space="preserve">Considerăm că </w:t>
      </w:r>
      <w:r w:rsidRPr="00DD6488">
        <w:rPr>
          <w:rFonts w:ascii="Times New Roman" w:hAnsi="Times New Roman"/>
          <w:b/>
          <w:bCs/>
        </w:rPr>
        <w:t xml:space="preserve">instituirea procedurii de filtru </w:t>
      </w:r>
      <w:r w:rsidR="00142D11">
        <w:rPr>
          <w:rFonts w:ascii="Times New Roman" w:hAnsi="Times New Roman"/>
          <w:b/>
          <w:bCs/>
        </w:rPr>
        <w:t>ș</w:t>
      </w:r>
      <w:r w:rsidRPr="00DD6488">
        <w:rPr>
          <w:rFonts w:ascii="Times New Roman" w:hAnsi="Times New Roman"/>
          <w:b/>
          <w:bCs/>
        </w:rPr>
        <w:t xml:space="preserve">i reglementarea </w:t>
      </w:r>
      <w:r w:rsidR="000D315C" w:rsidRPr="00DD6488">
        <w:rPr>
          <w:rFonts w:ascii="Times New Roman" w:hAnsi="Times New Roman"/>
          <w:b/>
          <w:bCs/>
        </w:rPr>
        <w:t>obligativită</w:t>
      </w:r>
      <w:r w:rsidR="00142D11">
        <w:rPr>
          <w:rFonts w:ascii="Times New Roman" w:hAnsi="Times New Roman"/>
          <w:b/>
          <w:bCs/>
        </w:rPr>
        <w:t>ț</w:t>
      </w:r>
      <w:r w:rsidR="000D315C" w:rsidRPr="00DD6488">
        <w:rPr>
          <w:rFonts w:ascii="Times New Roman" w:hAnsi="Times New Roman"/>
          <w:b/>
          <w:bCs/>
        </w:rPr>
        <w:t>ii</w:t>
      </w:r>
      <w:r w:rsidRPr="00DD6488">
        <w:rPr>
          <w:rFonts w:ascii="Times New Roman" w:hAnsi="Times New Roman"/>
          <w:b/>
          <w:bCs/>
        </w:rPr>
        <w:t xml:space="preserve"> reprezentării prin avocat în faza recursului ar putea să diminueze, în mod considerabil, numărul mare de recursuri informe, inteligibile, gre</w:t>
      </w:r>
      <w:r w:rsidR="00142D11">
        <w:rPr>
          <w:rFonts w:ascii="Times New Roman" w:hAnsi="Times New Roman"/>
          <w:b/>
          <w:bCs/>
        </w:rPr>
        <w:t>ș</w:t>
      </w:r>
      <w:r w:rsidRPr="00DD6488">
        <w:rPr>
          <w:rFonts w:ascii="Times New Roman" w:hAnsi="Times New Roman"/>
          <w:b/>
          <w:bCs/>
        </w:rPr>
        <w:t xml:space="preserve">ite din punct de vedere gramatical sau care ar avea </w:t>
      </w:r>
      <w:r w:rsidR="000D315C" w:rsidRPr="00DD6488">
        <w:rPr>
          <w:rFonts w:ascii="Times New Roman" w:hAnsi="Times New Roman"/>
          <w:b/>
          <w:bCs/>
        </w:rPr>
        <w:t>con</w:t>
      </w:r>
      <w:r w:rsidR="00142D11">
        <w:rPr>
          <w:rFonts w:ascii="Times New Roman" w:hAnsi="Times New Roman"/>
          <w:b/>
          <w:bCs/>
        </w:rPr>
        <w:t>ț</w:t>
      </w:r>
      <w:r w:rsidR="000D315C" w:rsidRPr="00DD6488">
        <w:rPr>
          <w:rFonts w:ascii="Times New Roman" w:hAnsi="Times New Roman"/>
          <w:b/>
          <w:bCs/>
        </w:rPr>
        <w:t>inut</w:t>
      </w:r>
      <w:r w:rsidRPr="00DD6488">
        <w:rPr>
          <w:rFonts w:ascii="Times New Roman" w:hAnsi="Times New Roman"/>
          <w:b/>
          <w:bCs/>
        </w:rPr>
        <w:t xml:space="preserve"> </w:t>
      </w:r>
      <w:r w:rsidR="00142D11">
        <w:rPr>
          <w:rFonts w:ascii="Times New Roman" w:hAnsi="Times New Roman"/>
          <w:b/>
          <w:bCs/>
        </w:rPr>
        <w:t>ș</w:t>
      </w:r>
      <w:r w:rsidRPr="00DD6488">
        <w:rPr>
          <w:rFonts w:ascii="Times New Roman" w:hAnsi="Times New Roman"/>
          <w:b/>
          <w:bCs/>
        </w:rPr>
        <w:t xml:space="preserve">icanatoriu ori </w:t>
      </w:r>
      <w:r w:rsidR="00142D11" w:rsidRPr="00DD6488">
        <w:rPr>
          <w:rFonts w:ascii="Times New Roman" w:hAnsi="Times New Roman"/>
          <w:b/>
          <w:bCs/>
        </w:rPr>
        <w:t>denigrând</w:t>
      </w:r>
      <w:r w:rsidRPr="00DD6488">
        <w:rPr>
          <w:rFonts w:ascii="Times New Roman" w:hAnsi="Times New Roman"/>
          <w:b/>
          <w:bCs/>
        </w:rPr>
        <w:t xml:space="preserve"> </w:t>
      </w:r>
      <w:r w:rsidR="00142D11">
        <w:rPr>
          <w:rFonts w:ascii="Times New Roman" w:hAnsi="Times New Roman"/>
          <w:b/>
          <w:bCs/>
        </w:rPr>
        <w:t>ș</w:t>
      </w:r>
      <w:r w:rsidR="00142D11" w:rsidRPr="00DD6488">
        <w:rPr>
          <w:rFonts w:ascii="Times New Roman" w:hAnsi="Times New Roman"/>
          <w:b/>
          <w:bCs/>
        </w:rPr>
        <w:t>i</w:t>
      </w:r>
      <w:r w:rsidRPr="00DD6488">
        <w:rPr>
          <w:rFonts w:ascii="Times New Roman" w:hAnsi="Times New Roman"/>
          <w:b/>
          <w:bCs/>
        </w:rPr>
        <w:t xml:space="preserve"> implicit ar asigura o degrevare importantă a </w:t>
      </w:r>
      <w:r w:rsidR="000D315C" w:rsidRPr="00DD6488">
        <w:rPr>
          <w:rFonts w:ascii="Times New Roman" w:hAnsi="Times New Roman"/>
          <w:b/>
          <w:bCs/>
        </w:rPr>
        <w:t>instan</w:t>
      </w:r>
      <w:r w:rsidR="00142D11">
        <w:rPr>
          <w:rFonts w:ascii="Times New Roman" w:hAnsi="Times New Roman"/>
          <w:b/>
          <w:bCs/>
        </w:rPr>
        <w:t>ț</w:t>
      </w:r>
      <w:r w:rsidR="000D315C" w:rsidRPr="00DD6488">
        <w:rPr>
          <w:rFonts w:ascii="Times New Roman" w:hAnsi="Times New Roman"/>
          <w:b/>
          <w:bCs/>
        </w:rPr>
        <w:t>ei</w:t>
      </w:r>
      <w:r w:rsidRPr="00DD6488">
        <w:rPr>
          <w:rFonts w:ascii="Times New Roman" w:hAnsi="Times New Roman"/>
          <w:b/>
          <w:bCs/>
        </w:rPr>
        <w:t xml:space="preserve"> supreme.</w:t>
      </w:r>
      <w:r w:rsidR="000A591E" w:rsidRPr="00DD6488">
        <w:rPr>
          <w:rFonts w:ascii="Times New Roman" w:hAnsi="Times New Roman"/>
          <w:b/>
          <w:bCs/>
        </w:rPr>
        <w:t xml:space="preserve"> </w:t>
      </w:r>
      <w:r w:rsidR="000D315C" w:rsidRPr="00DD6488">
        <w:rPr>
          <w:rFonts w:ascii="Times New Roman" w:hAnsi="Times New Roman"/>
          <w:b/>
          <w:bCs/>
        </w:rPr>
        <w:t>Depă</w:t>
      </w:r>
      <w:r w:rsidR="00142D11">
        <w:rPr>
          <w:rFonts w:ascii="Times New Roman" w:hAnsi="Times New Roman"/>
          <w:b/>
          <w:bCs/>
        </w:rPr>
        <w:t>ș</w:t>
      </w:r>
      <w:r w:rsidR="000D315C" w:rsidRPr="00DD6488">
        <w:rPr>
          <w:rFonts w:ascii="Times New Roman" w:hAnsi="Times New Roman"/>
          <w:b/>
          <w:bCs/>
        </w:rPr>
        <w:t>irea</w:t>
      </w:r>
      <w:r w:rsidR="000A591E" w:rsidRPr="00DD6488">
        <w:rPr>
          <w:rFonts w:ascii="Times New Roman" w:hAnsi="Times New Roman"/>
          <w:b/>
          <w:bCs/>
        </w:rPr>
        <w:t xml:space="preserve"> aspectelor de </w:t>
      </w:r>
      <w:r w:rsidR="000D315C" w:rsidRPr="00DD6488">
        <w:rPr>
          <w:rFonts w:ascii="Times New Roman" w:hAnsi="Times New Roman"/>
          <w:b/>
          <w:bCs/>
        </w:rPr>
        <w:t>neconstitu</w:t>
      </w:r>
      <w:r w:rsidR="00142D11">
        <w:rPr>
          <w:rFonts w:ascii="Times New Roman" w:hAnsi="Times New Roman"/>
          <w:b/>
          <w:bCs/>
        </w:rPr>
        <w:t>ț</w:t>
      </w:r>
      <w:r w:rsidR="000D315C" w:rsidRPr="00DD6488">
        <w:rPr>
          <w:rFonts w:ascii="Times New Roman" w:hAnsi="Times New Roman"/>
          <w:b/>
          <w:bCs/>
        </w:rPr>
        <w:t>ionalitate</w:t>
      </w:r>
      <w:r w:rsidR="000A591E" w:rsidRPr="00DD6488">
        <w:rPr>
          <w:rFonts w:ascii="Times New Roman" w:hAnsi="Times New Roman"/>
          <w:b/>
          <w:bCs/>
        </w:rPr>
        <w:t xml:space="preserve"> </w:t>
      </w:r>
      <w:r w:rsidR="000D315C" w:rsidRPr="00DD6488">
        <w:rPr>
          <w:rFonts w:ascii="Times New Roman" w:hAnsi="Times New Roman"/>
          <w:b/>
          <w:bCs/>
        </w:rPr>
        <w:t>re</w:t>
      </w:r>
      <w:r w:rsidR="00142D11">
        <w:rPr>
          <w:rFonts w:ascii="Times New Roman" w:hAnsi="Times New Roman"/>
          <w:b/>
          <w:bCs/>
        </w:rPr>
        <w:t>ț</w:t>
      </w:r>
      <w:r w:rsidR="000D315C" w:rsidRPr="00DD6488">
        <w:rPr>
          <w:rFonts w:ascii="Times New Roman" w:hAnsi="Times New Roman"/>
          <w:b/>
          <w:bCs/>
        </w:rPr>
        <w:t>inute</w:t>
      </w:r>
      <w:r w:rsidR="000A591E" w:rsidRPr="00DD6488">
        <w:rPr>
          <w:rFonts w:ascii="Times New Roman" w:hAnsi="Times New Roman"/>
          <w:b/>
          <w:bCs/>
        </w:rPr>
        <w:t xml:space="preserve"> </w:t>
      </w:r>
      <w:r w:rsidR="000D315C" w:rsidRPr="00DD6488">
        <w:rPr>
          <w:rFonts w:ascii="Times New Roman" w:hAnsi="Times New Roman"/>
          <w:b/>
          <w:bCs/>
        </w:rPr>
        <w:t>î</w:t>
      </w:r>
      <w:r w:rsidR="000A591E" w:rsidRPr="00DD6488">
        <w:rPr>
          <w:rFonts w:ascii="Times New Roman" w:hAnsi="Times New Roman"/>
          <w:b/>
          <w:bCs/>
        </w:rPr>
        <w:t xml:space="preserve">n deciziile </w:t>
      </w:r>
      <w:r w:rsidR="000D315C" w:rsidRPr="00DD6488">
        <w:rPr>
          <w:rFonts w:ascii="Times New Roman" w:hAnsi="Times New Roman"/>
          <w:b/>
          <w:bCs/>
        </w:rPr>
        <w:t>Cur</w:t>
      </w:r>
      <w:r w:rsidR="00142D11">
        <w:rPr>
          <w:rFonts w:ascii="Times New Roman" w:hAnsi="Times New Roman"/>
          <w:b/>
          <w:bCs/>
        </w:rPr>
        <w:t>ț</w:t>
      </w:r>
      <w:r w:rsidR="000D315C" w:rsidRPr="00DD6488">
        <w:rPr>
          <w:rFonts w:ascii="Times New Roman" w:hAnsi="Times New Roman"/>
          <w:b/>
          <w:bCs/>
        </w:rPr>
        <w:t>ii</w:t>
      </w:r>
      <w:r w:rsidR="000A591E" w:rsidRPr="00DD6488">
        <w:rPr>
          <w:rFonts w:ascii="Times New Roman" w:hAnsi="Times New Roman"/>
          <w:b/>
          <w:bCs/>
        </w:rPr>
        <w:t xml:space="preserve"> </w:t>
      </w:r>
      <w:r w:rsidR="000D315C" w:rsidRPr="00DD6488">
        <w:rPr>
          <w:rFonts w:ascii="Times New Roman" w:hAnsi="Times New Roman"/>
          <w:b/>
          <w:bCs/>
        </w:rPr>
        <w:t>Constitu</w:t>
      </w:r>
      <w:r w:rsidR="00142D11">
        <w:rPr>
          <w:rFonts w:ascii="Times New Roman" w:hAnsi="Times New Roman"/>
          <w:b/>
          <w:bCs/>
        </w:rPr>
        <w:t>ț</w:t>
      </w:r>
      <w:r w:rsidR="000D315C" w:rsidRPr="00DD6488">
        <w:rPr>
          <w:rFonts w:ascii="Times New Roman" w:hAnsi="Times New Roman"/>
          <w:b/>
          <w:bCs/>
        </w:rPr>
        <w:t>ionale</w:t>
      </w:r>
      <w:r w:rsidR="000A591E" w:rsidRPr="00DD6488">
        <w:rPr>
          <w:rFonts w:ascii="Times New Roman" w:hAnsi="Times New Roman"/>
          <w:b/>
          <w:bCs/>
        </w:rPr>
        <w:t xml:space="preserve"> anterioare este posibila prin reevaluarea sistemului de ajutor public judiciar in faza cailor de atac, astfel </w:t>
      </w:r>
      <w:r w:rsidR="000D315C" w:rsidRPr="00DD6488">
        <w:rPr>
          <w:rFonts w:ascii="Times New Roman" w:hAnsi="Times New Roman"/>
          <w:b/>
          <w:bCs/>
        </w:rPr>
        <w:t>încât</w:t>
      </w:r>
      <w:r w:rsidR="000A591E" w:rsidRPr="00DD6488">
        <w:rPr>
          <w:rFonts w:ascii="Times New Roman" w:hAnsi="Times New Roman"/>
          <w:b/>
          <w:bCs/>
        </w:rPr>
        <w:t xml:space="preserve"> s</w:t>
      </w:r>
      <w:r w:rsidR="000D315C" w:rsidRPr="00DD6488">
        <w:rPr>
          <w:rFonts w:ascii="Times New Roman" w:hAnsi="Times New Roman"/>
          <w:b/>
          <w:bCs/>
        </w:rPr>
        <w:t>ă</w:t>
      </w:r>
      <w:r w:rsidR="000A591E" w:rsidRPr="00DD6488">
        <w:rPr>
          <w:rFonts w:ascii="Times New Roman" w:hAnsi="Times New Roman"/>
          <w:b/>
          <w:bCs/>
        </w:rPr>
        <w:t xml:space="preserve"> </w:t>
      </w:r>
      <w:r w:rsidR="000D315C" w:rsidRPr="00DD6488">
        <w:rPr>
          <w:rFonts w:ascii="Times New Roman" w:hAnsi="Times New Roman"/>
          <w:b/>
          <w:bCs/>
        </w:rPr>
        <w:t>permită</w:t>
      </w:r>
      <w:r w:rsidR="000A591E" w:rsidRPr="00DD6488">
        <w:rPr>
          <w:rFonts w:ascii="Times New Roman" w:hAnsi="Times New Roman"/>
          <w:b/>
          <w:bCs/>
        </w:rPr>
        <w:t xml:space="preserve"> accesul unui segment mult mai larg de persoane </w:t>
      </w:r>
      <w:r w:rsidR="000D315C" w:rsidRPr="00DD6488">
        <w:rPr>
          <w:rFonts w:ascii="Times New Roman" w:hAnsi="Times New Roman"/>
          <w:b/>
          <w:bCs/>
        </w:rPr>
        <w:t>decât</w:t>
      </w:r>
      <w:r w:rsidR="000A591E" w:rsidRPr="00DD6488">
        <w:rPr>
          <w:rFonts w:ascii="Times New Roman" w:hAnsi="Times New Roman"/>
          <w:b/>
          <w:bCs/>
        </w:rPr>
        <w:t xml:space="preserve"> cel permis prin plafoanele </w:t>
      </w:r>
      <w:r w:rsidR="000D315C" w:rsidRPr="00DD6488">
        <w:rPr>
          <w:rFonts w:ascii="Times New Roman" w:hAnsi="Times New Roman"/>
          <w:b/>
          <w:bCs/>
        </w:rPr>
        <w:t>restrânse</w:t>
      </w:r>
      <w:r w:rsidR="000A591E" w:rsidRPr="00DD6488">
        <w:rPr>
          <w:rFonts w:ascii="Times New Roman" w:hAnsi="Times New Roman"/>
          <w:b/>
          <w:bCs/>
        </w:rPr>
        <w:t xml:space="preserve"> ale actualului regim </w:t>
      </w:r>
      <w:r w:rsidR="000D315C" w:rsidRPr="00DD6488">
        <w:rPr>
          <w:rFonts w:ascii="Times New Roman" w:hAnsi="Times New Roman"/>
          <w:b/>
          <w:bCs/>
        </w:rPr>
        <w:t>prevăzut</w:t>
      </w:r>
      <w:r w:rsidR="000A591E" w:rsidRPr="00DD6488">
        <w:rPr>
          <w:rFonts w:ascii="Times New Roman" w:hAnsi="Times New Roman"/>
          <w:b/>
          <w:bCs/>
        </w:rPr>
        <w:t xml:space="preserve"> de O.U.G. nr.51/2008.</w:t>
      </w:r>
    </w:p>
    <w:p w14:paraId="4B4D1983" w14:textId="2C497BA2" w:rsidR="00AA375F" w:rsidRPr="00DD6488" w:rsidRDefault="00AA375F" w:rsidP="00AA375F">
      <w:pPr>
        <w:spacing w:line="276" w:lineRule="auto"/>
        <w:ind w:firstLine="360"/>
        <w:jc w:val="both"/>
        <w:rPr>
          <w:rFonts w:ascii="Times New Roman" w:hAnsi="Times New Roman"/>
        </w:rPr>
      </w:pPr>
      <w:r w:rsidRPr="00DD6488">
        <w:rPr>
          <w:rFonts w:ascii="Times New Roman" w:hAnsi="Times New Roman"/>
        </w:rPr>
        <w:t xml:space="preserve">Prin art. II al </w:t>
      </w:r>
      <w:proofErr w:type="spellStart"/>
      <w:r w:rsidRPr="00DD6488">
        <w:rPr>
          <w:rFonts w:ascii="Times New Roman" w:hAnsi="Times New Roman"/>
        </w:rPr>
        <w:t>PLx</w:t>
      </w:r>
      <w:proofErr w:type="spellEnd"/>
      <w:r w:rsidRPr="00DD6488">
        <w:rPr>
          <w:rFonts w:ascii="Times New Roman" w:hAnsi="Times New Roman"/>
        </w:rPr>
        <w:t xml:space="preserve">. 676/2020  se propune </w:t>
      </w:r>
      <w:r w:rsidR="00142D11">
        <w:rPr>
          <w:rFonts w:ascii="Times New Roman" w:hAnsi="Times New Roman"/>
        </w:rPr>
        <w:t>ș</w:t>
      </w:r>
      <w:r w:rsidRPr="00DD6488">
        <w:rPr>
          <w:rFonts w:ascii="Times New Roman" w:hAnsi="Times New Roman"/>
        </w:rPr>
        <w:t>i modificarea Codului de procedură civilă, prin introducerea art. 465</w:t>
      </w:r>
      <w:r w:rsidRPr="00DD6488">
        <w:rPr>
          <w:rFonts w:ascii="Times New Roman" w:hAnsi="Times New Roman"/>
          <w:vertAlign w:val="superscript"/>
        </w:rPr>
        <w:t>1</w:t>
      </w:r>
      <w:r w:rsidRPr="00DD6488">
        <w:rPr>
          <w:rFonts w:ascii="Times New Roman" w:hAnsi="Times New Roman"/>
        </w:rPr>
        <w:t xml:space="preserve">, cu preluarea identică a celor trei cazurilor de clasare incidente pentru ÎCCJ (redate ca atare prin art. I din </w:t>
      </w:r>
      <w:proofErr w:type="spellStart"/>
      <w:r w:rsidRPr="00DD6488">
        <w:rPr>
          <w:rFonts w:ascii="Times New Roman" w:hAnsi="Times New Roman"/>
        </w:rPr>
        <w:t>PLx</w:t>
      </w:r>
      <w:proofErr w:type="spellEnd"/>
      <w:r w:rsidRPr="00DD6488">
        <w:rPr>
          <w:rFonts w:ascii="Times New Roman" w:hAnsi="Times New Roman"/>
        </w:rPr>
        <w:t>. 676/2020). În consecin</w:t>
      </w:r>
      <w:r w:rsidR="00142D11">
        <w:rPr>
          <w:rFonts w:ascii="Times New Roman" w:hAnsi="Times New Roman"/>
        </w:rPr>
        <w:t>ț</w:t>
      </w:r>
      <w:r w:rsidRPr="00DD6488">
        <w:rPr>
          <w:rFonts w:ascii="Times New Roman" w:hAnsi="Times New Roman"/>
        </w:rPr>
        <w:t xml:space="preserve">ă, analiza </w:t>
      </w:r>
      <w:r w:rsidR="00142D11">
        <w:rPr>
          <w:rFonts w:ascii="Times New Roman" w:hAnsi="Times New Roman"/>
        </w:rPr>
        <w:t>ș</w:t>
      </w:r>
      <w:r w:rsidRPr="00DD6488">
        <w:rPr>
          <w:rFonts w:ascii="Times New Roman" w:hAnsi="Times New Roman"/>
        </w:rPr>
        <w:t>i concluziile expuse anterior rămân valabile, în mod corespunzător.</w:t>
      </w:r>
    </w:p>
    <w:p w14:paraId="67D89C91" w14:textId="3BCEEE65" w:rsidR="00AA375F" w:rsidRPr="00DD6488" w:rsidRDefault="00AA375F" w:rsidP="00AA375F">
      <w:pPr>
        <w:spacing w:line="276" w:lineRule="auto"/>
        <w:ind w:firstLine="360"/>
        <w:jc w:val="both"/>
        <w:rPr>
          <w:rFonts w:ascii="Times New Roman" w:hAnsi="Times New Roman"/>
        </w:rPr>
      </w:pPr>
      <w:r w:rsidRPr="00DD6488">
        <w:rPr>
          <w:rFonts w:ascii="Times New Roman" w:hAnsi="Times New Roman"/>
        </w:rPr>
        <w:t>În plus, prin introducerea art. 465</w:t>
      </w:r>
      <w:r w:rsidRPr="00DD6488">
        <w:rPr>
          <w:rFonts w:ascii="Times New Roman" w:hAnsi="Times New Roman"/>
          <w:vertAlign w:val="superscript"/>
        </w:rPr>
        <w:t>1</w:t>
      </w:r>
      <w:r w:rsidRPr="00DD6488">
        <w:rPr>
          <w:rFonts w:ascii="Times New Roman" w:hAnsi="Times New Roman"/>
        </w:rPr>
        <w:t xml:space="preserve"> în Codul de procedură civilă</w:t>
      </w:r>
      <w:r w:rsidR="000D315C" w:rsidRPr="00DD6488">
        <w:rPr>
          <w:rFonts w:ascii="Times New Roman" w:hAnsi="Times New Roman"/>
        </w:rPr>
        <w:t>,</w:t>
      </w:r>
      <w:r w:rsidRPr="00DD6488">
        <w:rPr>
          <w:rFonts w:ascii="Times New Roman" w:hAnsi="Times New Roman"/>
        </w:rPr>
        <w:t xml:space="preserve"> se va reglementa în materia dispozi</w:t>
      </w:r>
      <w:r w:rsidR="00142D11">
        <w:rPr>
          <w:rFonts w:ascii="Times New Roman" w:hAnsi="Times New Roman"/>
        </w:rPr>
        <w:t>ț</w:t>
      </w:r>
      <w:r w:rsidRPr="00DD6488">
        <w:rPr>
          <w:rFonts w:ascii="Times New Roman" w:hAnsi="Times New Roman"/>
        </w:rPr>
        <w:t xml:space="preserve">iilor generale cu privire la căile de atac în procesul civil, sens în care </w:t>
      </w:r>
      <w:r w:rsidRPr="00DD6488">
        <w:rPr>
          <w:rFonts w:ascii="Times New Roman" w:hAnsi="Times New Roman"/>
          <w:b/>
          <w:bCs/>
        </w:rPr>
        <w:t>solu</w:t>
      </w:r>
      <w:r w:rsidR="00142D11">
        <w:rPr>
          <w:rFonts w:ascii="Times New Roman" w:hAnsi="Times New Roman"/>
          <w:b/>
          <w:bCs/>
        </w:rPr>
        <w:t>ț</w:t>
      </w:r>
      <w:r w:rsidRPr="00DD6488">
        <w:rPr>
          <w:rFonts w:ascii="Times New Roman" w:hAnsi="Times New Roman"/>
          <w:b/>
          <w:bCs/>
        </w:rPr>
        <w:t xml:space="preserve">ia de clasare se va aplica atât căilor de atac de reformare (apel, recurs), cât </w:t>
      </w:r>
      <w:r w:rsidR="00142D11">
        <w:rPr>
          <w:rFonts w:ascii="Times New Roman" w:hAnsi="Times New Roman"/>
          <w:b/>
          <w:bCs/>
        </w:rPr>
        <w:t>ș</w:t>
      </w:r>
      <w:r w:rsidRPr="00DD6488">
        <w:rPr>
          <w:rFonts w:ascii="Times New Roman" w:hAnsi="Times New Roman"/>
          <w:b/>
          <w:bCs/>
        </w:rPr>
        <w:t>i căilor de atac de retractare (contesta</w:t>
      </w:r>
      <w:r w:rsidR="00142D11">
        <w:rPr>
          <w:rFonts w:ascii="Times New Roman" w:hAnsi="Times New Roman"/>
          <w:b/>
          <w:bCs/>
        </w:rPr>
        <w:t>ț</w:t>
      </w:r>
      <w:r w:rsidRPr="00DD6488">
        <w:rPr>
          <w:rFonts w:ascii="Times New Roman" w:hAnsi="Times New Roman"/>
          <w:b/>
          <w:bCs/>
        </w:rPr>
        <w:t>ie în anulare, revizuire)</w:t>
      </w:r>
      <w:r w:rsidRPr="00DD6488">
        <w:rPr>
          <w:rFonts w:ascii="Times New Roman" w:hAnsi="Times New Roman"/>
        </w:rPr>
        <w:t>. A</w:t>
      </w:r>
      <w:r w:rsidR="00142D11">
        <w:rPr>
          <w:rFonts w:ascii="Times New Roman" w:hAnsi="Times New Roman"/>
        </w:rPr>
        <w:t>ș</w:t>
      </w:r>
      <w:r w:rsidRPr="00DD6488">
        <w:rPr>
          <w:rFonts w:ascii="Times New Roman" w:hAnsi="Times New Roman"/>
        </w:rPr>
        <w:t>adar, va exista această procedură de „filtru” la toate instan</w:t>
      </w:r>
      <w:r w:rsidR="00142D11">
        <w:rPr>
          <w:rFonts w:ascii="Times New Roman" w:hAnsi="Times New Roman"/>
        </w:rPr>
        <w:t>ț</w:t>
      </w:r>
      <w:r w:rsidRPr="00DD6488">
        <w:rPr>
          <w:rFonts w:ascii="Times New Roman" w:hAnsi="Times New Roman"/>
        </w:rPr>
        <w:t>ele judecătore</w:t>
      </w:r>
      <w:r w:rsidR="00142D11">
        <w:rPr>
          <w:rFonts w:ascii="Times New Roman" w:hAnsi="Times New Roman"/>
        </w:rPr>
        <w:t>ș</w:t>
      </w:r>
      <w:r w:rsidRPr="00DD6488">
        <w:rPr>
          <w:rFonts w:ascii="Times New Roman" w:hAnsi="Times New Roman"/>
        </w:rPr>
        <w:t>ti (judecătorii, tribunale, cur</w:t>
      </w:r>
      <w:r w:rsidR="00142D11">
        <w:rPr>
          <w:rFonts w:ascii="Times New Roman" w:hAnsi="Times New Roman"/>
        </w:rPr>
        <w:t>ț</w:t>
      </w:r>
      <w:r w:rsidRPr="00DD6488">
        <w:rPr>
          <w:rFonts w:ascii="Times New Roman" w:hAnsi="Times New Roman"/>
        </w:rPr>
        <w:t>i de apel; de primă instan</w:t>
      </w:r>
      <w:r w:rsidR="00142D11">
        <w:rPr>
          <w:rFonts w:ascii="Times New Roman" w:hAnsi="Times New Roman"/>
        </w:rPr>
        <w:t>ț</w:t>
      </w:r>
      <w:r w:rsidRPr="00DD6488">
        <w:rPr>
          <w:rFonts w:ascii="Times New Roman" w:hAnsi="Times New Roman"/>
        </w:rPr>
        <w:t>ă, instan</w:t>
      </w:r>
      <w:r w:rsidR="00142D11">
        <w:rPr>
          <w:rFonts w:ascii="Times New Roman" w:hAnsi="Times New Roman"/>
        </w:rPr>
        <w:t>ț</w:t>
      </w:r>
      <w:r w:rsidRPr="00DD6488">
        <w:rPr>
          <w:rFonts w:ascii="Times New Roman" w:hAnsi="Times New Roman"/>
        </w:rPr>
        <w:t>e de apel, instan</w:t>
      </w:r>
      <w:r w:rsidR="00142D11">
        <w:rPr>
          <w:rFonts w:ascii="Times New Roman" w:hAnsi="Times New Roman"/>
        </w:rPr>
        <w:t>ț</w:t>
      </w:r>
      <w:r w:rsidRPr="00DD6488">
        <w:rPr>
          <w:rFonts w:ascii="Times New Roman" w:hAnsi="Times New Roman"/>
        </w:rPr>
        <w:t>e de recurs).</w:t>
      </w:r>
    </w:p>
    <w:p w14:paraId="7BFB48AE" w14:textId="48C05936" w:rsidR="00AA375F" w:rsidRPr="00DD6488" w:rsidRDefault="00AA375F" w:rsidP="00AA375F">
      <w:pPr>
        <w:spacing w:line="276" w:lineRule="auto"/>
        <w:ind w:firstLine="360"/>
        <w:jc w:val="both"/>
        <w:rPr>
          <w:rFonts w:ascii="Times New Roman" w:hAnsi="Times New Roman"/>
        </w:rPr>
      </w:pPr>
      <w:r w:rsidRPr="00DD6488">
        <w:rPr>
          <w:rFonts w:ascii="Times New Roman" w:hAnsi="Times New Roman"/>
        </w:rPr>
        <w:t xml:space="preserve">În fine, învederăm </w:t>
      </w:r>
      <w:r w:rsidR="00142D11">
        <w:rPr>
          <w:rFonts w:ascii="Times New Roman" w:hAnsi="Times New Roman"/>
        </w:rPr>
        <w:t>ș</w:t>
      </w:r>
      <w:r w:rsidRPr="00DD6488">
        <w:rPr>
          <w:rFonts w:ascii="Times New Roman" w:hAnsi="Times New Roman"/>
        </w:rPr>
        <w:t xml:space="preserve">i un alt </w:t>
      </w:r>
      <w:r w:rsidRPr="00DD6488">
        <w:rPr>
          <w:rFonts w:ascii="Times New Roman" w:hAnsi="Times New Roman"/>
          <w:b/>
          <w:bCs/>
        </w:rPr>
        <w:t xml:space="preserve">aspect de neclaritate </w:t>
      </w:r>
      <w:r w:rsidR="00142D11">
        <w:rPr>
          <w:rFonts w:ascii="Times New Roman" w:hAnsi="Times New Roman"/>
          <w:b/>
          <w:bCs/>
        </w:rPr>
        <w:t>ș</w:t>
      </w:r>
      <w:r w:rsidRPr="00DD6488">
        <w:rPr>
          <w:rFonts w:ascii="Times New Roman" w:hAnsi="Times New Roman"/>
          <w:b/>
          <w:bCs/>
        </w:rPr>
        <w:t xml:space="preserve">i </w:t>
      </w:r>
      <w:proofErr w:type="spellStart"/>
      <w:r w:rsidRPr="00DD6488">
        <w:rPr>
          <w:rFonts w:ascii="Times New Roman" w:hAnsi="Times New Roman"/>
          <w:b/>
          <w:bCs/>
        </w:rPr>
        <w:t>nepredictibilitate</w:t>
      </w:r>
      <w:proofErr w:type="spellEnd"/>
      <w:r w:rsidRPr="00DD6488">
        <w:rPr>
          <w:rFonts w:ascii="Times New Roman" w:hAnsi="Times New Roman"/>
          <w:b/>
          <w:bCs/>
        </w:rPr>
        <w:t xml:space="preserve"> în privin</w:t>
      </w:r>
      <w:r w:rsidR="00142D11">
        <w:rPr>
          <w:rFonts w:ascii="Times New Roman" w:hAnsi="Times New Roman"/>
          <w:b/>
          <w:bCs/>
        </w:rPr>
        <w:t>ț</w:t>
      </w:r>
      <w:r w:rsidRPr="00DD6488">
        <w:rPr>
          <w:rFonts w:ascii="Times New Roman" w:hAnsi="Times New Roman"/>
          <w:b/>
          <w:bCs/>
        </w:rPr>
        <w:t>a propunerii legislative analizate</w:t>
      </w:r>
      <w:r w:rsidRPr="00DD6488">
        <w:rPr>
          <w:rFonts w:ascii="Times New Roman" w:hAnsi="Times New Roman"/>
        </w:rPr>
        <w:t xml:space="preserve">. Astfel, în cazul cererilor </w:t>
      </w:r>
      <w:r w:rsidR="00142D11">
        <w:rPr>
          <w:rFonts w:ascii="Times New Roman" w:hAnsi="Times New Roman"/>
        </w:rPr>
        <w:t>ș</w:t>
      </w:r>
      <w:r w:rsidRPr="00DD6488">
        <w:rPr>
          <w:rFonts w:ascii="Times New Roman" w:hAnsi="Times New Roman"/>
        </w:rPr>
        <w:t xml:space="preserve">i căilor de atac înaintate ÎCCJ, prin art. I alin. 3 se conferă </w:t>
      </w:r>
      <w:r w:rsidR="00142D11">
        <w:rPr>
          <w:rFonts w:ascii="Times New Roman" w:hAnsi="Times New Roman"/>
        </w:rPr>
        <w:t>ș</w:t>
      </w:r>
      <w:r w:rsidRPr="00DD6488">
        <w:rPr>
          <w:rFonts w:ascii="Times New Roman" w:hAnsi="Times New Roman"/>
        </w:rPr>
        <w:t xml:space="preserve">i o </w:t>
      </w:r>
      <w:r w:rsidR="000D315C" w:rsidRPr="00DD6488">
        <w:rPr>
          <w:rFonts w:ascii="Times New Roman" w:hAnsi="Times New Roman"/>
        </w:rPr>
        <w:t>competen</w:t>
      </w:r>
      <w:r w:rsidR="00142D11">
        <w:rPr>
          <w:rFonts w:ascii="Times New Roman" w:hAnsi="Times New Roman"/>
        </w:rPr>
        <w:t>ț</w:t>
      </w:r>
      <w:r w:rsidR="000D315C" w:rsidRPr="00DD6488">
        <w:rPr>
          <w:rFonts w:ascii="Times New Roman" w:hAnsi="Times New Roman"/>
        </w:rPr>
        <w:t>ă</w:t>
      </w:r>
      <w:r w:rsidRPr="00DD6488">
        <w:rPr>
          <w:rFonts w:ascii="Times New Roman" w:hAnsi="Times New Roman"/>
        </w:rPr>
        <w:t xml:space="preserve"> de a dispune repartizare aleatorie a acestor cereri conducerii administrative a </w:t>
      </w:r>
      <w:r w:rsidR="000D315C" w:rsidRPr="00DD6488">
        <w:rPr>
          <w:rFonts w:ascii="Times New Roman" w:hAnsi="Times New Roman"/>
        </w:rPr>
        <w:t>instan</w:t>
      </w:r>
      <w:r w:rsidR="00142D11">
        <w:rPr>
          <w:rFonts w:ascii="Times New Roman" w:hAnsi="Times New Roman"/>
        </w:rPr>
        <w:t>ț</w:t>
      </w:r>
      <w:r w:rsidR="000D315C" w:rsidRPr="00DD6488">
        <w:rPr>
          <w:rFonts w:ascii="Times New Roman" w:hAnsi="Times New Roman"/>
        </w:rPr>
        <w:t>ei</w:t>
      </w:r>
      <w:r w:rsidRPr="00DD6488">
        <w:rPr>
          <w:rFonts w:ascii="Times New Roman" w:hAnsi="Times New Roman"/>
        </w:rPr>
        <w:t xml:space="preserve">: </w:t>
      </w:r>
      <w:r w:rsidRPr="00DD6488">
        <w:rPr>
          <w:rFonts w:ascii="Times New Roman" w:hAnsi="Times New Roman"/>
          <w:i/>
          <w:iCs/>
        </w:rPr>
        <w:t>în situa</w:t>
      </w:r>
      <w:r w:rsidR="00142D11">
        <w:rPr>
          <w:rFonts w:ascii="Times New Roman" w:hAnsi="Times New Roman"/>
          <w:i/>
          <w:iCs/>
        </w:rPr>
        <w:t>ț</w:t>
      </w:r>
      <w:r w:rsidRPr="00DD6488">
        <w:rPr>
          <w:rFonts w:ascii="Times New Roman" w:hAnsi="Times New Roman"/>
          <w:i/>
          <w:iCs/>
        </w:rPr>
        <w:t>ia în care vicepre</w:t>
      </w:r>
      <w:r w:rsidR="00142D11">
        <w:rPr>
          <w:rFonts w:ascii="Times New Roman" w:hAnsi="Times New Roman"/>
          <w:i/>
          <w:iCs/>
        </w:rPr>
        <w:t>ș</w:t>
      </w:r>
      <w:r w:rsidRPr="00DD6488">
        <w:rPr>
          <w:rFonts w:ascii="Times New Roman" w:hAnsi="Times New Roman"/>
          <w:i/>
          <w:iCs/>
        </w:rPr>
        <w:t>edintele Înaltei Cur</w:t>
      </w:r>
      <w:r w:rsidR="00142D11">
        <w:rPr>
          <w:rFonts w:ascii="Times New Roman" w:hAnsi="Times New Roman"/>
          <w:i/>
          <w:iCs/>
        </w:rPr>
        <w:t>ț</w:t>
      </w:r>
      <w:r w:rsidRPr="00DD6488">
        <w:rPr>
          <w:rFonts w:ascii="Times New Roman" w:hAnsi="Times New Roman"/>
          <w:i/>
          <w:iCs/>
        </w:rPr>
        <w:t>i de Casa</w:t>
      </w:r>
      <w:r w:rsidR="00142D11">
        <w:rPr>
          <w:rFonts w:ascii="Times New Roman" w:hAnsi="Times New Roman"/>
          <w:i/>
          <w:iCs/>
        </w:rPr>
        <w:t>ț</w:t>
      </w:r>
      <w:r w:rsidRPr="00DD6488">
        <w:rPr>
          <w:rFonts w:ascii="Times New Roman" w:hAnsi="Times New Roman"/>
          <w:i/>
          <w:iCs/>
        </w:rPr>
        <w:t xml:space="preserve">ie </w:t>
      </w:r>
      <w:r w:rsidR="00142D11">
        <w:rPr>
          <w:rFonts w:ascii="Times New Roman" w:hAnsi="Times New Roman"/>
          <w:i/>
          <w:iCs/>
        </w:rPr>
        <w:t>ș</w:t>
      </w:r>
      <w:r w:rsidRPr="00DD6488">
        <w:rPr>
          <w:rFonts w:ascii="Times New Roman" w:hAnsi="Times New Roman"/>
          <w:i/>
          <w:iCs/>
        </w:rPr>
        <w:t>i Justi</w:t>
      </w:r>
      <w:r w:rsidR="00142D11">
        <w:rPr>
          <w:rFonts w:ascii="Times New Roman" w:hAnsi="Times New Roman"/>
          <w:i/>
          <w:iCs/>
        </w:rPr>
        <w:t>ț</w:t>
      </w:r>
      <w:r w:rsidRPr="00DD6488">
        <w:rPr>
          <w:rFonts w:ascii="Times New Roman" w:hAnsi="Times New Roman"/>
          <w:i/>
          <w:iCs/>
        </w:rPr>
        <w:t xml:space="preserve">ie sau, după caz, </w:t>
      </w:r>
      <w:r w:rsidRPr="00DD6488">
        <w:rPr>
          <w:rFonts w:ascii="Times New Roman" w:hAnsi="Times New Roman"/>
          <w:b/>
          <w:bCs/>
          <w:i/>
          <w:iCs/>
        </w:rPr>
        <w:t>pre</w:t>
      </w:r>
      <w:r w:rsidR="00142D11">
        <w:rPr>
          <w:rFonts w:ascii="Times New Roman" w:hAnsi="Times New Roman"/>
          <w:b/>
          <w:bCs/>
          <w:i/>
          <w:iCs/>
        </w:rPr>
        <w:t>ș</w:t>
      </w:r>
      <w:r w:rsidRPr="00DD6488">
        <w:rPr>
          <w:rFonts w:ascii="Times New Roman" w:hAnsi="Times New Roman"/>
          <w:b/>
          <w:bCs/>
          <w:i/>
          <w:iCs/>
        </w:rPr>
        <w:t>edintele sec</w:t>
      </w:r>
      <w:r w:rsidR="00142D11">
        <w:rPr>
          <w:rFonts w:ascii="Times New Roman" w:hAnsi="Times New Roman"/>
          <w:b/>
          <w:bCs/>
          <w:i/>
          <w:iCs/>
        </w:rPr>
        <w:t>ț</w:t>
      </w:r>
      <w:r w:rsidRPr="00DD6488">
        <w:rPr>
          <w:rFonts w:ascii="Times New Roman" w:hAnsi="Times New Roman"/>
          <w:b/>
          <w:bCs/>
          <w:i/>
          <w:iCs/>
        </w:rPr>
        <w:t>iei apreciază că cererea nu se încadrează în ipotezele prevăzute la alin. (1), dispune, prin rezolu</w:t>
      </w:r>
      <w:r w:rsidR="00142D11">
        <w:rPr>
          <w:rFonts w:ascii="Times New Roman" w:hAnsi="Times New Roman"/>
          <w:b/>
          <w:bCs/>
          <w:i/>
          <w:iCs/>
        </w:rPr>
        <w:t>ț</w:t>
      </w:r>
      <w:r w:rsidRPr="00DD6488">
        <w:rPr>
          <w:rFonts w:ascii="Times New Roman" w:hAnsi="Times New Roman"/>
          <w:b/>
          <w:bCs/>
          <w:i/>
          <w:iCs/>
        </w:rPr>
        <w:t>ie, repartizarea aleatorie</w:t>
      </w:r>
      <w:r w:rsidRPr="00DD6488">
        <w:rPr>
          <w:rFonts w:ascii="Times New Roman" w:hAnsi="Times New Roman"/>
          <w:i/>
          <w:iCs/>
        </w:rPr>
        <w:t xml:space="preserve"> a cauzei, care se va efectua </w:t>
      </w:r>
      <w:r w:rsidRPr="00DD6488">
        <w:rPr>
          <w:rFonts w:ascii="Times New Roman" w:hAnsi="Times New Roman"/>
          <w:i/>
          <w:iCs/>
        </w:rPr>
        <w:lastRenderedPageBreak/>
        <w:t>la data semnării rezolu</w:t>
      </w:r>
      <w:r w:rsidR="00142D11">
        <w:rPr>
          <w:rFonts w:ascii="Times New Roman" w:hAnsi="Times New Roman"/>
          <w:i/>
          <w:iCs/>
        </w:rPr>
        <w:t>ț</w:t>
      </w:r>
      <w:r w:rsidRPr="00DD6488">
        <w:rPr>
          <w:rFonts w:ascii="Times New Roman" w:hAnsi="Times New Roman"/>
          <w:i/>
          <w:iCs/>
        </w:rPr>
        <w:t>iei. Rezolu</w:t>
      </w:r>
      <w:r w:rsidR="00142D11">
        <w:rPr>
          <w:rFonts w:ascii="Times New Roman" w:hAnsi="Times New Roman"/>
          <w:i/>
          <w:iCs/>
        </w:rPr>
        <w:t>ț</w:t>
      </w:r>
      <w:r w:rsidRPr="00DD6488">
        <w:rPr>
          <w:rFonts w:ascii="Times New Roman" w:hAnsi="Times New Roman"/>
          <w:i/>
          <w:iCs/>
        </w:rPr>
        <w:t>ia prin care se dispune repartizarea aleatorie nu este supusă niciunei căi de atac administrative sau judiciare, se întocme</w:t>
      </w:r>
      <w:r w:rsidR="00142D11">
        <w:rPr>
          <w:rFonts w:ascii="Times New Roman" w:hAnsi="Times New Roman"/>
          <w:i/>
          <w:iCs/>
        </w:rPr>
        <w:t>ș</w:t>
      </w:r>
      <w:r w:rsidRPr="00DD6488">
        <w:rPr>
          <w:rFonts w:ascii="Times New Roman" w:hAnsi="Times New Roman"/>
          <w:i/>
          <w:iCs/>
        </w:rPr>
        <w:t xml:space="preserve">te într-un singur exemplar </w:t>
      </w:r>
      <w:r w:rsidR="00142D11">
        <w:rPr>
          <w:rFonts w:ascii="Times New Roman" w:hAnsi="Times New Roman"/>
          <w:i/>
          <w:iCs/>
        </w:rPr>
        <w:t>ș</w:t>
      </w:r>
      <w:r w:rsidRPr="00DD6488">
        <w:rPr>
          <w:rFonts w:ascii="Times New Roman" w:hAnsi="Times New Roman"/>
          <w:i/>
          <w:iCs/>
        </w:rPr>
        <w:t>i se ata</w:t>
      </w:r>
      <w:r w:rsidR="00142D11">
        <w:rPr>
          <w:rFonts w:ascii="Times New Roman" w:hAnsi="Times New Roman"/>
          <w:i/>
          <w:iCs/>
        </w:rPr>
        <w:t>ș</w:t>
      </w:r>
      <w:r w:rsidRPr="00DD6488">
        <w:rPr>
          <w:rFonts w:ascii="Times New Roman" w:hAnsi="Times New Roman"/>
          <w:i/>
          <w:iCs/>
        </w:rPr>
        <w:t xml:space="preserve">ează la dosarul format." </w:t>
      </w:r>
      <w:r w:rsidRPr="00DD6488">
        <w:rPr>
          <w:rFonts w:ascii="Times New Roman" w:hAnsi="Times New Roman"/>
        </w:rPr>
        <w:t>Analizând norma evocată, ar putea fi avute în vedere următoarele considerente:</w:t>
      </w:r>
    </w:p>
    <w:p w14:paraId="72202B87" w14:textId="77777777" w:rsidR="00AA375F" w:rsidRPr="00DD6488" w:rsidRDefault="00AA375F" w:rsidP="00AA375F">
      <w:pPr>
        <w:pStyle w:val="ListParagraph"/>
        <w:numPr>
          <w:ilvl w:val="0"/>
          <w:numId w:val="4"/>
        </w:numPr>
        <w:spacing w:line="276" w:lineRule="auto"/>
        <w:jc w:val="both"/>
        <w:rPr>
          <w:rFonts w:ascii="Times New Roman" w:hAnsi="Times New Roman"/>
          <w:sz w:val="24"/>
          <w:szCs w:val="24"/>
        </w:rPr>
      </w:pPr>
      <w:r w:rsidRPr="00DD6488">
        <w:rPr>
          <w:rFonts w:ascii="Times New Roman" w:hAnsi="Times New Roman"/>
          <w:sz w:val="24"/>
          <w:szCs w:val="24"/>
        </w:rPr>
        <w:t>cine va constata clasarea acestor cereri (informe, inteligibile, etc.) având în vedere că acestea nu se repartizează aleatoriu (art. 26</w:t>
      </w:r>
      <w:r w:rsidRPr="00DD6488">
        <w:rPr>
          <w:rFonts w:ascii="Times New Roman" w:hAnsi="Times New Roman"/>
          <w:sz w:val="24"/>
          <w:szCs w:val="24"/>
          <w:vertAlign w:val="superscript"/>
        </w:rPr>
        <w:t>1</w:t>
      </w:r>
      <w:r w:rsidRPr="00DD6488">
        <w:rPr>
          <w:rFonts w:ascii="Times New Roman" w:hAnsi="Times New Roman"/>
          <w:sz w:val="24"/>
          <w:szCs w:val="24"/>
        </w:rPr>
        <w:t xml:space="preserve"> alin. 1 din </w:t>
      </w:r>
      <w:proofErr w:type="spellStart"/>
      <w:r w:rsidRPr="00DD6488">
        <w:rPr>
          <w:rFonts w:ascii="Times New Roman" w:hAnsi="Times New Roman"/>
          <w:sz w:val="24"/>
          <w:szCs w:val="24"/>
        </w:rPr>
        <w:t>PLx</w:t>
      </w:r>
      <w:proofErr w:type="spellEnd"/>
      <w:r w:rsidRPr="00DD6488">
        <w:rPr>
          <w:rFonts w:ascii="Times New Roman" w:hAnsi="Times New Roman"/>
          <w:sz w:val="24"/>
          <w:szCs w:val="24"/>
        </w:rPr>
        <w:t>. 676/2020)?</w:t>
      </w:r>
    </w:p>
    <w:p w14:paraId="5732BEAC" w14:textId="48097BCA" w:rsidR="00AA375F" w:rsidRPr="00DD6488" w:rsidRDefault="00AA375F" w:rsidP="00AA375F">
      <w:pPr>
        <w:pStyle w:val="ListParagraph"/>
        <w:numPr>
          <w:ilvl w:val="0"/>
          <w:numId w:val="4"/>
        </w:numPr>
        <w:spacing w:line="276" w:lineRule="auto"/>
        <w:jc w:val="both"/>
        <w:rPr>
          <w:rFonts w:ascii="Times New Roman" w:hAnsi="Times New Roman"/>
          <w:sz w:val="24"/>
          <w:szCs w:val="24"/>
        </w:rPr>
      </w:pPr>
      <w:r w:rsidRPr="00DD6488">
        <w:rPr>
          <w:rFonts w:ascii="Times New Roman" w:hAnsi="Times New Roman"/>
          <w:sz w:val="24"/>
          <w:szCs w:val="24"/>
        </w:rPr>
        <w:t>s-ar putea în</w:t>
      </w:r>
      <w:r w:rsidR="00142D11">
        <w:rPr>
          <w:rFonts w:ascii="Times New Roman" w:hAnsi="Times New Roman"/>
          <w:sz w:val="24"/>
          <w:szCs w:val="24"/>
        </w:rPr>
        <w:t>ț</w:t>
      </w:r>
      <w:r w:rsidRPr="00DD6488">
        <w:rPr>
          <w:rFonts w:ascii="Times New Roman" w:hAnsi="Times New Roman"/>
          <w:sz w:val="24"/>
          <w:szCs w:val="24"/>
        </w:rPr>
        <w:t xml:space="preserve">elege, printr-o interpretare </w:t>
      </w:r>
      <w:r w:rsidRPr="00637CC7">
        <w:rPr>
          <w:rFonts w:ascii="Times New Roman" w:hAnsi="Times New Roman"/>
          <w:i/>
          <w:iCs/>
          <w:sz w:val="24"/>
          <w:szCs w:val="24"/>
        </w:rPr>
        <w:t xml:space="preserve">per a </w:t>
      </w:r>
      <w:proofErr w:type="spellStart"/>
      <w:r w:rsidRPr="00637CC7">
        <w:rPr>
          <w:rFonts w:ascii="Times New Roman" w:hAnsi="Times New Roman"/>
          <w:i/>
          <w:iCs/>
          <w:sz w:val="24"/>
          <w:szCs w:val="24"/>
        </w:rPr>
        <w:t>contrario</w:t>
      </w:r>
      <w:proofErr w:type="spellEnd"/>
      <w:r w:rsidRPr="00DD6488">
        <w:rPr>
          <w:rFonts w:ascii="Times New Roman" w:hAnsi="Times New Roman"/>
          <w:sz w:val="24"/>
          <w:szCs w:val="24"/>
        </w:rPr>
        <w:t>, că solu</w:t>
      </w:r>
      <w:r w:rsidR="00142D11">
        <w:rPr>
          <w:rFonts w:ascii="Times New Roman" w:hAnsi="Times New Roman"/>
          <w:sz w:val="24"/>
          <w:szCs w:val="24"/>
        </w:rPr>
        <w:t>ț</w:t>
      </w:r>
      <w:r w:rsidRPr="00DD6488">
        <w:rPr>
          <w:rFonts w:ascii="Times New Roman" w:hAnsi="Times New Roman"/>
          <w:sz w:val="24"/>
          <w:szCs w:val="24"/>
        </w:rPr>
        <w:t>ia clasării s-ar dispune de vicepre</w:t>
      </w:r>
      <w:r w:rsidR="00142D11">
        <w:rPr>
          <w:rFonts w:ascii="Times New Roman" w:hAnsi="Times New Roman"/>
          <w:sz w:val="24"/>
          <w:szCs w:val="24"/>
        </w:rPr>
        <w:t>ș</w:t>
      </w:r>
      <w:r w:rsidRPr="00DD6488">
        <w:rPr>
          <w:rFonts w:ascii="Times New Roman" w:hAnsi="Times New Roman"/>
          <w:sz w:val="24"/>
          <w:szCs w:val="24"/>
        </w:rPr>
        <w:t>edintele ÎCCJ sau pre</w:t>
      </w:r>
      <w:r w:rsidR="00142D11">
        <w:rPr>
          <w:rFonts w:ascii="Times New Roman" w:hAnsi="Times New Roman"/>
          <w:sz w:val="24"/>
          <w:szCs w:val="24"/>
        </w:rPr>
        <w:t>ș</w:t>
      </w:r>
      <w:r w:rsidRPr="00DD6488">
        <w:rPr>
          <w:rFonts w:ascii="Times New Roman" w:hAnsi="Times New Roman"/>
          <w:sz w:val="24"/>
          <w:szCs w:val="24"/>
        </w:rPr>
        <w:t>edin</w:t>
      </w:r>
      <w:r w:rsidR="00142D11">
        <w:rPr>
          <w:rFonts w:ascii="Times New Roman" w:hAnsi="Times New Roman"/>
          <w:sz w:val="24"/>
          <w:szCs w:val="24"/>
        </w:rPr>
        <w:t>ț</w:t>
      </w:r>
      <w:r w:rsidRPr="00DD6488">
        <w:rPr>
          <w:rFonts w:ascii="Times New Roman" w:hAnsi="Times New Roman"/>
          <w:sz w:val="24"/>
          <w:szCs w:val="24"/>
        </w:rPr>
        <w:t>ii de sec</w:t>
      </w:r>
      <w:r w:rsidR="00142D11">
        <w:rPr>
          <w:rFonts w:ascii="Times New Roman" w:hAnsi="Times New Roman"/>
          <w:sz w:val="24"/>
          <w:szCs w:val="24"/>
        </w:rPr>
        <w:t>ț</w:t>
      </w:r>
      <w:r w:rsidRPr="00DD6488">
        <w:rPr>
          <w:rFonts w:ascii="Times New Roman" w:hAnsi="Times New Roman"/>
          <w:sz w:val="24"/>
          <w:szCs w:val="24"/>
        </w:rPr>
        <w:t>ii, având în vedere că ace</w:t>
      </w:r>
      <w:r w:rsidR="00142D11">
        <w:rPr>
          <w:rFonts w:ascii="Times New Roman" w:hAnsi="Times New Roman"/>
          <w:sz w:val="24"/>
          <w:szCs w:val="24"/>
        </w:rPr>
        <w:t>ș</w:t>
      </w:r>
      <w:r w:rsidRPr="00DD6488">
        <w:rPr>
          <w:rFonts w:ascii="Times New Roman" w:hAnsi="Times New Roman"/>
          <w:sz w:val="24"/>
          <w:szCs w:val="24"/>
        </w:rPr>
        <w:t xml:space="preserve">tia pot dispune </w:t>
      </w:r>
      <w:r w:rsidR="00142D11">
        <w:rPr>
          <w:rFonts w:ascii="Times New Roman" w:hAnsi="Times New Roman"/>
          <w:sz w:val="24"/>
          <w:szCs w:val="24"/>
        </w:rPr>
        <w:t>ș</w:t>
      </w:r>
      <w:r w:rsidRPr="00DD6488">
        <w:rPr>
          <w:rFonts w:ascii="Times New Roman" w:hAnsi="Times New Roman"/>
          <w:sz w:val="24"/>
          <w:szCs w:val="24"/>
        </w:rPr>
        <w:t>i repartizarea aleatorie?</w:t>
      </w:r>
    </w:p>
    <w:p w14:paraId="50C9A43A" w14:textId="77777777" w:rsidR="00AA375F" w:rsidRPr="00DD6488" w:rsidRDefault="00AA375F" w:rsidP="00AA375F">
      <w:pPr>
        <w:pStyle w:val="ListParagraph"/>
        <w:numPr>
          <w:ilvl w:val="0"/>
          <w:numId w:val="4"/>
        </w:numPr>
        <w:spacing w:line="276" w:lineRule="auto"/>
        <w:jc w:val="both"/>
        <w:rPr>
          <w:rFonts w:ascii="Times New Roman" w:hAnsi="Times New Roman"/>
          <w:sz w:val="24"/>
          <w:szCs w:val="24"/>
        </w:rPr>
      </w:pPr>
      <w:r w:rsidRPr="00DD6488">
        <w:rPr>
          <w:rFonts w:ascii="Times New Roman" w:hAnsi="Times New Roman"/>
          <w:sz w:val="24"/>
          <w:szCs w:val="24"/>
        </w:rPr>
        <w:t>în cazul clasării există vreo cale de atac?</w:t>
      </w:r>
    </w:p>
    <w:p w14:paraId="62AE1372" w14:textId="641ADAAD" w:rsidR="00AA375F" w:rsidRPr="00DD6488" w:rsidRDefault="00AA375F" w:rsidP="00AA375F">
      <w:pPr>
        <w:spacing w:line="276" w:lineRule="auto"/>
        <w:ind w:firstLine="360"/>
        <w:jc w:val="both"/>
        <w:rPr>
          <w:rFonts w:ascii="Times New Roman" w:hAnsi="Times New Roman"/>
        </w:rPr>
      </w:pPr>
      <w:r w:rsidRPr="00DD6488">
        <w:rPr>
          <w:rFonts w:ascii="Times New Roman" w:hAnsi="Times New Roman"/>
        </w:rPr>
        <w:t xml:space="preserve">Aceste elemente de incertitudine pot determina o eventuală </w:t>
      </w:r>
      <w:r w:rsidR="000D315C" w:rsidRPr="00DD6488">
        <w:rPr>
          <w:rFonts w:ascii="Times New Roman" w:hAnsi="Times New Roman"/>
        </w:rPr>
        <w:t>neconstitu</w:t>
      </w:r>
      <w:r w:rsidR="00142D11">
        <w:rPr>
          <w:rFonts w:ascii="Times New Roman" w:hAnsi="Times New Roman"/>
        </w:rPr>
        <w:t>ț</w:t>
      </w:r>
      <w:r w:rsidR="000D315C" w:rsidRPr="00DD6488">
        <w:rPr>
          <w:rFonts w:ascii="Times New Roman" w:hAnsi="Times New Roman"/>
        </w:rPr>
        <w:t>ionalitate</w:t>
      </w:r>
      <w:r w:rsidRPr="00DD6488">
        <w:rPr>
          <w:rFonts w:ascii="Times New Roman" w:hAnsi="Times New Roman"/>
        </w:rPr>
        <w:t xml:space="preserve"> a proiectului de lege prin raportare la art.1 din </w:t>
      </w:r>
      <w:r w:rsidR="000D315C" w:rsidRPr="00DD6488">
        <w:rPr>
          <w:rFonts w:ascii="Times New Roman" w:hAnsi="Times New Roman"/>
        </w:rPr>
        <w:t>Constitu</w:t>
      </w:r>
      <w:r w:rsidR="00142D11">
        <w:rPr>
          <w:rFonts w:ascii="Times New Roman" w:hAnsi="Times New Roman"/>
        </w:rPr>
        <w:t>ț</w:t>
      </w:r>
      <w:r w:rsidR="000D315C" w:rsidRPr="00DD6488">
        <w:rPr>
          <w:rFonts w:ascii="Times New Roman" w:hAnsi="Times New Roman"/>
        </w:rPr>
        <w:t>ie</w:t>
      </w:r>
      <w:r w:rsidRPr="00DD6488">
        <w:rPr>
          <w:rFonts w:ascii="Times New Roman" w:hAnsi="Times New Roman"/>
        </w:rPr>
        <w:t>.</w:t>
      </w:r>
    </w:p>
    <w:p w14:paraId="4B2CD61A" w14:textId="33E51A87" w:rsidR="00AA375F" w:rsidRPr="00DD6488" w:rsidRDefault="00AA375F" w:rsidP="00AA375F">
      <w:pPr>
        <w:spacing w:line="276" w:lineRule="auto"/>
        <w:jc w:val="both"/>
        <w:rPr>
          <w:rFonts w:ascii="Times New Roman" w:hAnsi="Times New Roman"/>
        </w:rPr>
      </w:pPr>
      <w:r w:rsidRPr="00DD6488">
        <w:rPr>
          <w:rFonts w:ascii="Times New Roman" w:hAnsi="Times New Roman"/>
        </w:rPr>
        <w:tab/>
        <w:t xml:space="preserve">Dacă în cazul cererilor adresate ÎCCJ există această </w:t>
      </w:r>
      <w:r w:rsidR="000D315C" w:rsidRPr="00DD6488">
        <w:rPr>
          <w:rFonts w:ascii="Times New Roman" w:hAnsi="Times New Roman"/>
        </w:rPr>
        <w:t>competen</w:t>
      </w:r>
      <w:r w:rsidR="00142D11">
        <w:rPr>
          <w:rFonts w:ascii="Times New Roman" w:hAnsi="Times New Roman"/>
        </w:rPr>
        <w:t>ț</w:t>
      </w:r>
      <w:r w:rsidR="000D315C" w:rsidRPr="00DD6488">
        <w:rPr>
          <w:rFonts w:ascii="Times New Roman" w:hAnsi="Times New Roman"/>
        </w:rPr>
        <w:t>ă</w:t>
      </w:r>
      <w:r w:rsidRPr="00DD6488">
        <w:rPr>
          <w:rFonts w:ascii="Times New Roman" w:hAnsi="Times New Roman"/>
        </w:rPr>
        <w:t xml:space="preserve"> orientată către conducerea administrativă a </w:t>
      </w:r>
      <w:r w:rsidR="000D315C" w:rsidRPr="00DD6488">
        <w:rPr>
          <w:rFonts w:ascii="Times New Roman" w:hAnsi="Times New Roman"/>
        </w:rPr>
        <w:t>instan</w:t>
      </w:r>
      <w:r w:rsidR="00142D11">
        <w:rPr>
          <w:rFonts w:ascii="Times New Roman" w:hAnsi="Times New Roman"/>
        </w:rPr>
        <w:t>ț</w:t>
      </w:r>
      <w:r w:rsidR="000D315C" w:rsidRPr="00DD6488">
        <w:rPr>
          <w:rFonts w:ascii="Times New Roman" w:hAnsi="Times New Roman"/>
        </w:rPr>
        <w:t>ei</w:t>
      </w:r>
      <w:r w:rsidRPr="00DD6488">
        <w:rPr>
          <w:rFonts w:ascii="Times New Roman" w:hAnsi="Times New Roman"/>
        </w:rPr>
        <w:t xml:space="preserve"> supreme, în cazul căilor de atac de la celelalte </w:t>
      </w:r>
      <w:r w:rsidR="000D315C" w:rsidRPr="00DD6488">
        <w:rPr>
          <w:rFonts w:ascii="Times New Roman" w:hAnsi="Times New Roman"/>
        </w:rPr>
        <w:t>instan</w:t>
      </w:r>
      <w:r w:rsidR="00142D11">
        <w:rPr>
          <w:rFonts w:ascii="Times New Roman" w:hAnsi="Times New Roman"/>
        </w:rPr>
        <w:t>ț</w:t>
      </w:r>
      <w:r w:rsidR="000D315C" w:rsidRPr="00DD6488">
        <w:rPr>
          <w:rFonts w:ascii="Times New Roman" w:hAnsi="Times New Roman"/>
        </w:rPr>
        <w:t>e</w:t>
      </w:r>
      <w:r w:rsidRPr="00DD6488">
        <w:rPr>
          <w:rFonts w:ascii="Times New Roman" w:hAnsi="Times New Roman"/>
        </w:rPr>
        <w:t xml:space="preserve"> (art. 465</w:t>
      </w:r>
      <w:r w:rsidRPr="00DD6488">
        <w:rPr>
          <w:rFonts w:ascii="Times New Roman" w:hAnsi="Times New Roman"/>
          <w:vertAlign w:val="superscript"/>
        </w:rPr>
        <w:t>1</w:t>
      </w:r>
      <w:r w:rsidRPr="00DD6488">
        <w:rPr>
          <w:rFonts w:ascii="Times New Roman" w:hAnsi="Times New Roman"/>
        </w:rPr>
        <w:t xml:space="preserve">) </w:t>
      </w:r>
      <w:r w:rsidRPr="00DD6488">
        <w:rPr>
          <w:rFonts w:ascii="Times New Roman" w:hAnsi="Times New Roman"/>
          <w:b/>
          <w:bCs/>
        </w:rPr>
        <w:t xml:space="preserve">nu a mai fost reglementată sau partajată o asemenea </w:t>
      </w:r>
      <w:r w:rsidR="000D315C" w:rsidRPr="00DD6488">
        <w:rPr>
          <w:rFonts w:ascii="Times New Roman" w:hAnsi="Times New Roman"/>
          <w:b/>
          <w:bCs/>
        </w:rPr>
        <w:t>competen</w:t>
      </w:r>
      <w:r w:rsidR="00142D11">
        <w:rPr>
          <w:rFonts w:ascii="Times New Roman" w:hAnsi="Times New Roman"/>
          <w:b/>
          <w:bCs/>
        </w:rPr>
        <w:t>ț</w:t>
      </w:r>
      <w:r w:rsidR="000D315C" w:rsidRPr="00DD6488">
        <w:rPr>
          <w:rFonts w:ascii="Times New Roman" w:hAnsi="Times New Roman"/>
          <w:b/>
          <w:bCs/>
        </w:rPr>
        <w:t>ă</w:t>
      </w:r>
      <w:r w:rsidRPr="00DD6488">
        <w:rPr>
          <w:rFonts w:ascii="Times New Roman" w:hAnsi="Times New Roman"/>
          <w:b/>
          <w:bCs/>
        </w:rPr>
        <w:t xml:space="preserve"> </w:t>
      </w:r>
      <w:r w:rsidR="00142D11">
        <w:rPr>
          <w:rFonts w:ascii="Times New Roman" w:hAnsi="Times New Roman"/>
          <w:b/>
          <w:bCs/>
        </w:rPr>
        <w:t>ș</w:t>
      </w:r>
      <w:r w:rsidRPr="00DD6488">
        <w:rPr>
          <w:rFonts w:ascii="Times New Roman" w:hAnsi="Times New Roman"/>
          <w:b/>
          <w:bCs/>
        </w:rPr>
        <w:t xml:space="preserve">i nici nu există o </w:t>
      </w:r>
      <w:r w:rsidR="000D315C" w:rsidRPr="00DD6488">
        <w:rPr>
          <w:rFonts w:ascii="Times New Roman" w:hAnsi="Times New Roman"/>
          <w:b/>
          <w:bCs/>
        </w:rPr>
        <w:t>men</w:t>
      </w:r>
      <w:r w:rsidR="00142D11">
        <w:rPr>
          <w:rFonts w:ascii="Times New Roman" w:hAnsi="Times New Roman"/>
          <w:b/>
          <w:bCs/>
        </w:rPr>
        <w:t>ț</w:t>
      </w:r>
      <w:r w:rsidR="000D315C" w:rsidRPr="00DD6488">
        <w:rPr>
          <w:rFonts w:ascii="Times New Roman" w:hAnsi="Times New Roman"/>
          <w:b/>
          <w:bCs/>
        </w:rPr>
        <w:t>iune</w:t>
      </w:r>
      <w:r w:rsidRPr="00DD6488">
        <w:rPr>
          <w:rFonts w:ascii="Times New Roman" w:hAnsi="Times New Roman"/>
          <w:b/>
          <w:bCs/>
        </w:rPr>
        <w:t xml:space="preserve"> cu privire la </w:t>
      </w:r>
      <w:proofErr w:type="spellStart"/>
      <w:r w:rsidRPr="00DD6488">
        <w:rPr>
          <w:rFonts w:ascii="Times New Roman" w:hAnsi="Times New Roman"/>
          <w:b/>
          <w:bCs/>
        </w:rPr>
        <w:t>nerepartizarea</w:t>
      </w:r>
      <w:proofErr w:type="spellEnd"/>
      <w:r w:rsidRPr="00DD6488">
        <w:rPr>
          <w:rFonts w:ascii="Times New Roman" w:hAnsi="Times New Roman"/>
          <w:b/>
          <w:bCs/>
        </w:rPr>
        <w:t xml:space="preserve"> aleatorie</w:t>
      </w:r>
      <w:r w:rsidRPr="00DD6488">
        <w:rPr>
          <w:rFonts w:ascii="Times New Roman" w:hAnsi="Times New Roman"/>
        </w:rPr>
        <w:t xml:space="preserve"> a unor asemenea căi de atac (se prevede numai că „se clasează”).</w:t>
      </w:r>
    </w:p>
    <w:p w14:paraId="121E8D8C" w14:textId="26D70DF1" w:rsidR="00AA375F" w:rsidRPr="00DD6488" w:rsidRDefault="00AA375F" w:rsidP="00AA375F">
      <w:pPr>
        <w:spacing w:line="276" w:lineRule="auto"/>
        <w:jc w:val="both"/>
        <w:rPr>
          <w:rFonts w:ascii="Times New Roman" w:hAnsi="Times New Roman"/>
        </w:rPr>
      </w:pPr>
      <w:r w:rsidRPr="00DD6488">
        <w:rPr>
          <w:rFonts w:ascii="Times New Roman" w:hAnsi="Times New Roman"/>
        </w:rPr>
        <w:tab/>
        <w:t xml:space="preserve">Pentru claritatea textului legal </w:t>
      </w:r>
      <w:r w:rsidR="00142D11">
        <w:rPr>
          <w:rFonts w:ascii="Times New Roman" w:hAnsi="Times New Roman"/>
        </w:rPr>
        <w:t>ș</w:t>
      </w:r>
      <w:r w:rsidRPr="00DD6488">
        <w:rPr>
          <w:rFonts w:ascii="Times New Roman" w:hAnsi="Times New Roman"/>
        </w:rPr>
        <w:t>i predictibilitatea acestuia opinăm să s-ar impune o reglementare similară a celor două ipoteze de lucru.</w:t>
      </w:r>
    </w:p>
    <w:p w14:paraId="26F9A0B9" w14:textId="29707135" w:rsidR="00C574C9" w:rsidRPr="00DD6488" w:rsidRDefault="00C574C9" w:rsidP="00AA375F">
      <w:pPr>
        <w:widowControl w:val="0"/>
        <w:spacing w:before="60" w:after="60" w:line="276" w:lineRule="auto"/>
        <w:ind w:firstLine="708"/>
        <w:jc w:val="both"/>
        <w:rPr>
          <w:rFonts w:ascii="Times New Roman" w:hAnsi="Times New Roman"/>
        </w:rPr>
      </w:pPr>
      <w:r w:rsidRPr="00DD6488">
        <w:rPr>
          <w:rFonts w:ascii="Times New Roman" w:hAnsi="Times New Roman"/>
        </w:rPr>
        <w:t>Vă rugăm să da</w:t>
      </w:r>
      <w:r w:rsidR="00142D11">
        <w:rPr>
          <w:rFonts w:ascii="Times New Roman" w:hAnsi="Times New Roman"/>
        </w:rPr>
        <w:t>ț</w:t>
      </w:r>
      <w:r w:rsidRPr="00DD6488">
        <w:rPr>
          <w:rFonts w:ascii="Times New Roman" w:hAnsi="Times New Roman"/>
        </w:rPr>
        <w:t>i curs solicitării noastre.</w:t>
      </w:r>
    </w:p>
    <w:p w14:paraId="51979CCB" w14:textId="77777777" w:rsidR="00E2015D" w:rsidRPr="00DD6488" w:rsidRDefault="00E2015D" w:rsidP="00AA375F">
      <w:pPr>
        <w:widowControl w:val="0"/>
        <w:spacing w:before="60" w:after="60" w:line="276" w:lineRule="auto"/>
        <w:jc w:val="both"/>
        <w:rPr>
          <w:rFonts w:ascii="Times New Roman" w:hAnsi="Times New Roman"/>
        </w:rPr>
      </w:pPr>
    </w:p>
    <w:p w14:paraId="4066EB71" w14:textId="5EDE3749" w:rsidR="00941076" w:rsidRPr="00DD6488" w:rsidRDefault="00C574C9" w:rsidP="00AA375F">
      <w:pPr>
        <w:widowControl w:val="0"/>
        <w:spacing w:before="60" w:after="60" w:line="276" w:lineRule="auto"/>
        <w:jc w:val="both"/>
        <w:rPr>
          <w:rFonts w:ascii="Times New Roman" w:hAnsi="Times New Roman"/>
        </w:rPr>
      </w:pPr>
      <w:r w:rsidRPr="00DD6488">
        <w:rPr>
          <w:rFonts w:ascii="Times New Roman" w:hAnsi="Times New Roman"/>
        </w:rPr>
        <w:t>Vă m</w:t>
      </w:r>
      <w:r w:rsidR="004F5800" w:rsidRPr="00DD6488">
        <w:rPr>
          <w:rFonts w:ascii="Times New Roman" w:hAnsi="Times New Roman"/>
        </w:rPr>
        <w:t>ul</w:t>
      </w:r>
      <w:r w:rsidR="00142D11">
        <w:rPr>
          <w:rFonts w:ascii="Times New Roman" w:hAnsi="Times New Roman"/>
        </w:rPr>
        <w:t>ț</w:t>
      </w:r>
      <w:r w:rsidR="004F5800" w:rsidRPr="00DD6488">
        <w:rPr>
          <w:rFonts w:ascii="Times New Roman" w:hAnsi="Times New Roman"/>
        </w:rPr>
        <w:t>umim!</w:t>
      </w:r>
    </w:p>
    <w:p w14:paraId="476323C5" w14:textId="0E5F1124" w:rsidR="00941076" w:rsidRPr="00DD6488" w:rsidRDefault="00941076" w:rsidP="00AA375F">
      <w:pPr>
        <w:spacing w:after="120" w:line="276" w:lineRule="auto"/>
        <w:jc w:val="both"/>
        <w:rPr>
          <w:rFonts w:ascii="Times New Roman" w:hAnsi="Times New Roman"/>
        </w:rPr>
      </w:pPr>
      <w:r w:rsidRPr="00DD6488">
        <w:rPr>
          <w:rFonts w:ascii="Times New Roman" w:hAnsi="Times New Roman"/>
        </w:rPr>
        <w:t>Cu deosebită considera</w:t>
      </w:r>
      <w:r w:rsidR="00142D11">
        <w:rPr>
          <w:rFonts w:ascii="Times New Roman" w:hAnsi="Times New Roman"/>
        </w:rPr>
        <w:t>ț</w:t>
      </w:r>
      <w:r w:rsidRPr="00DD6488">
        <w:rPr>
          <w:rFonts w:ascii="Times New Roman" w:hAnsi="Times New Roman"/>
        </w:rPr>
        <w:t>ie,</w:t>
      </w:r>
    </w:p>
    <w:p w14:paraId="59CB1C24" w14:textId="7B193F94" w:rsidR="00AF3555" w:rsidRPr="00DD6488" w:rsidRDefault="00AF3555" w:rsidP="00AA375F">
      <w:pPr>
        <w:spacing w:after="120" w:line="276" w:lineRule="auto"/>
        <w:jc w:val="both"/>
        <w:rPr>
          <w:rFonts w:ascii="Times New Roman" w:hAnsi="Times New Roman"/>
          <w:sz w:val="26"/>
          <w:szCs w:val="26"/>
        </w:rPr>
      </w:pPr>
    </w:p>
    <w:p w14:paraId="41600E9D" w14:textId="71B49B83" w:rsidR="00C574C9" w:rsidRPr="00DD6488" w:rsidRDefault="00C574C9" w:rsidP="00AA375F">
      <w:pPr>
        <w:spacing w:after="120" w:line="276" w:lineRule="auto"/>
        <w:jc w:val="both"/>
        <w:rPr>
          <w:rFonts w:ascii="Times New Roman" w:hAnsi="Times New Roman"/>
        </w:rPr>
      </w:pPr>
    </w:p>
    <w:p w14:paraId="1D1D72E8" w14:textId="33A9248A" w:rsidR="00941076" w:rsidRPr="00DD6488" w:rsidRDefault="00941076" w:rsidP="00AA375F">
      <w:pPr>
        <w:spacing w:after="120" w:line="276" w:lineRule="auto"/>
        <w:jc w:val="center"/>
        <w:rPr>
          <w:rFonts w:ascii="Times New Roman" w:hAnsi="Times New Roman"/>
          <w:b/>
          <w:bCs/>
          <w:i/>
          <w:sz w:val="28"/>
          <w:szCs w:val="28"/>
        </w:rPr>
      </w:pPr>
      <w:r w:rsidRPr="00DD6488">
        <w:rPr>
          <w:rFonts w:ascii="Times New Roman" w:hAnsi="Times New Roman"/>
          <w:b/>
          <w:bCs/>
          <w:sz w:val="28"/>
          <w:szCs w:val="28"/>
        </w:rPr>
        <w:t>Pre</w:t>
      </w:r>
      <w:r w:rsidR="00142D11">
        <w:rPr>
          <w:rFonts w:ascii="Times New Roman" w:hAnsi="Times New Roman"/>
          <w:b/>
          <w:bCs/>
          <w:sz w:val="28"/>
          <w:szCs w:val="28"/>
        </w:rPr>
        <w:t>ș</w:t>
      </w:r>
      <w:r w:rsidRPr="00DD6488">
        <w:rPr>
          <w:rFonts w:ascii="Times New Roman" w:hAnsi="Times New Roman"/>
          <w:b/>
          <w:bCs/>
          <w:sz w:val="28"/>
          <w:szCs w:val="28"/>
        </w:rPr>
        <w:t>edintele UNBR</w:t>
      </w:r>
    </w:p>
    <w:p w14:paraId="41DB34C4" w14:textId="5422F098" w:rsidR="006B262E" w:rsidRPr="00DD6488" w:rsidRDefault="00941076" w:rsidP="00AA375F">
      <w:pPr>
        <w:spacing w:after="120" w:line="276" w:lineRule="auto"/>
        <w:jc w:val="center"/>
        <w:rPr>
          <w:rFonts w:ascii="Times New Roman" w:hAnsi="Times New Roman"/>
          <w:b/>
          <w:bCs/>
          <w:sz w:val="28"/>
          <w:szCs w:val="28"/>
        </w:rPr>
      </w:pPr>
      <w:r w:rsidRPr="00DD6488">
        <w:rPr>
          <w:rFonts w:ascii="Times New Roman" w:hAnsi="Times New Roman"/>
          <w:b/>
          <w:bCs/>
          <w:sz w:val="28"/>
          <w:szCs w:val="28"/>
        </w:rPr>
        <w:t>Av. dr. Traian-Cornel Briciu</w:t>
      </w:r>
    </w:p>
    <w:p w14:paraId="71DCB80E" w14:textId="23B222AE" w:rsidR="003B55C5" w:rsidRPr="00DD6488" w:rsidRDefault="003B55C5" w:rsidP="00AA375F">
      <w:pPr>
        <w:spacing w:after="120" w:line="276" w:lineRule="auto"/>
        <w:jc w:val="center"/>
      </w:pPr>
    </w:p>
    <w:sectPr w:rsidR="003B55C5" w:rsidRPr="00DD6488" w:rsidSect="00C574C9">
      <w:footerReference w:type="default" r:id="rId9"/>
      <w:headerReference w:type="first" r:id="rId10"/>
      <w:footerReference w:type="first" r:id="rId11"/>
      <w:pgSz w:w="11906" w:h="16838" w:code="9"/>
      <w:pgMar w:top="1418" w:right="1133" w:bottom="1702" w:left="1560" w:header="284"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BAC81" w14:textId="77777777" w:rsidR="00667F96" w:rsidRDefault="00667F96" w:rsidP="0078639A">
      <w:r>
        <w:separator/>
      </w:r>
    </w:p>
  </w:endnote>
  <w:endnote w:type="continuationSeparator" w:id="0">
    <w:p w14:paraId="08FD3926" w14:textId="77777777" w:rsidR="00667F96" w:rsidRDefault="00667F96" w:rsidP="007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van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E3F63" w14:textId="77777777" w:rsidR="00E92F96" w:rsidRDefault="00E92F96">
    <w:pPr>
      <w:pStyle w:val="Footer"/>
      <w:jc w:val="center"/>
    </w:pPr>
    <w:r>
      <w:fldChar w:fldCharType="begin"/>
    </w:r>
    <w:r>
      <w:instrText xml:space="preserve"> PAGE   \* MERGEFORMAT </w:instrText>
    </w:r>
    <w:r>
      <w:fldChar w:fldCharType="separate"/>
    </w:r>
    <w:r w:rsidR="00AA4A2F">
      <w:rPr>
        <w:noProof/>
      </w:rPr>
      <w:t>2</w:t>
    </w:r>
    <w:r>
      <w:fldChar w:fldCharType="end"/>
    </w:r>
  </w:p>
  <w:p w14:paraId="3B02A2EA" w14:textId="77777777" w:rsidR="00E92F96" w:rsidRDefault="00E92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3EB35" w14:textId="0434E431" w:rsidR="00AA4A2F" w:rsidRPr="00047A64" w:rsidRDefault="00AA4A2F" w:rsidP="00AA4A2F">
    <w:pPr>
      <w:pStyle w:val="Footer"/>
      <w:jc w:val="center"/>
      <w:rPr>
        <w:rFonts w:ascii="Calibri Light" w:hAnsi="Calibri Light"/>
        <w:color w:val="800000"/>
        <w:sz w:val="20"/>
        <w:szCs w:val="20"/>
      </w:rPr>
    </w:pPr>
    <w:r w:rsidRPr="00047A64">
      <w:rPr>
        <w:rFonts w:ascii="Calibri Light" w:hAnsi="Calibri Light"/>
        <w:color w:val="800000"/>
        <w:sz w:val="20"/>
        <w:szCs w:val="20"/>
      </w:rPr>
      <w:t>Palatul de Justi</w:t>
    </w:r>
    <w:r w:rsidR="00142D11">
      <w:rPr>
        <w:rFonts w:ascii="Calibri Light" w:hAnsi="Calibri Light"/>
        <w:color w:val="800000"/>
        <w:sz w:val="20"/>
        <w:szCs w:val="20"/>
      </w:rPr>
      <w:t>ț</w:t>
    </w:r>
    <w:r w:rsidRPr="00047A64">
      <w:rPr>
        <w:rFonts w:ascii="Calibri Light" w:hAnsi="Calibri Light"/>
        <w:color w:val="800000"/>
        <w:sz w:val="20"/>
        <w:szCs w:val="20"/>
      </w:rPr>
      <w:t>ie, Bucure</w:t>
    </w:r>
    <w:r w:rsidR="00142D11">
      <w:rPr>
        <w:rFonts w:ascii="Calibri Light" w:hAnsi="Calibri Light"/>
        <w:color w:val="800000"/>
        <w:sz w:val="20"/>
        <w:szCs w:val="20"/>
      </w:rPr>
      <w:t>ș</w:t>
    </w:r>
    <w:r w:rsidRPr="00047A64">
      <w:rPr>
        <w:rFonts w:ascii="Calibri Light" w:hAnsi="Calibri Light"/>
        <w:color w:val="800000"/>
        <w:sz w:val="20"/>
        <w:szCs w:val="20"/>
      </w:rPr>
      <w:t>ti, Sector 5, Splaiul Independen</w:t>
    </w:r>
    <w:r w:rsidR="00142D11">
      <w:rPr>
        <w:rFonts w:ascii="Calibri Light" w:hAnsi="Calibri Light"/>
        <w:color w:val="800000"/>
        <w:sz w:val="20"/>
        <w:szCs w:val="20"/>
      </w:rPr>
      <w:t>ț</w:t>
    </w:r>
    <w:r w:rsidRPr="00047A64">
      <w:rPr>
        <w:rFonts w:ascii="Calibri Light" w:hAnsi="Calibri Light"/>
        <w:color w:val="800000"/>
        <w:sz w:val="20"/>
        <w:szCs w:val="20"/>
      </w:rPr>
      <w:t>ei nr. 5, Cod po</w:t>
    </w:r>
    <w:r w:rsidR="00142D11">
      <w:rPr>
        <w:rFonts w:ascii="Calibri Light" w:hAnsi="Calibri Light"/>
        <w:color w:val="800000"/>
        <w:sz w:val="20"/>
        <w:szCs w:val="20"/>
      </w:rPr>
      <w:t>ș</w:t>
    </w:r>
    <w:r w:rsidRPr="00047A64">
      <w:rPr>
        <w:rFonts w:ascii="Calibri Light" w:hAnsi="Calibri Light"/>
        <w:color w:val="800000"/>
        <w:sz w:val="20"/>
        <w:szCs w:val="20"/>
      </w:rPr>
      <w:t>tal 050091</w:t>
    </w:r>
  </w:p>
  <w:p w14:paraId="467356C0" w14:textId="77777777" w:rsidR="00AA4A2F" w:rsidRPr="00047A64" w:rsidRDefault="00AA4A2F" w:rsidP="00AA4A2F">
    <w:pPr>
      <w:pStyle w:val="Footer"/>
      <w:jc w:val="center"/>
      <w:rPr>
        <w:rFonts w:ascii="Calibri Light" w:hAnsi="Calibri Light"/>
        <w:color w:val="800000"/>
        <w:sz w:val="20"/>
        <w:szCs w:val="20"/>
      </w:rPr>
    </w:pPr>
    <w:r w:rsidRPr="00047A64">
      <w:rPr>
        <w:rFonts w:ascii="Calibri Light" w:hAnsi="Calibri Light"/>
        <w:color w:val="800000"/>
        <w:sz w:val="20"/>
        <w:szCs w:val="20"/>
      </w:rPr>
      <w:t>Tel: (+4) 021/316-0739; 316-0740; 313-4875; Fax: (+4) 021/313-4880;</w:t>
    </w:r>
  </w:p>
  <w:p w14:paraId="51D3DF63" w14:textId="77777777" w:rsidR="00AA4A2F" w:rsidRDefault="00AA4A2F" w:rsidP="00AA4A2F">
    <w:pPr>
      <w:pStyle w:val="Footer"/>
      <w:jc w:val="center"/>
      <w:rPr>
        <w:rFonts w:ascii="Calibri Light" w:hAnsi="Calibri Light"/>
        <w:color w:val="800000"/>
        <w:sz w:val="20"/>
        <w:szCs w:val="20"/>
      </w:rPr>
    </w:pPr>
    <w:r w:rsidRPr="00047A64">
      <w:rPr>
        <w:rFonts w:ascii="Calibri Light" w:hAnsi="Calibri Light"/>
        <w:color w:val="800000"/>
        <w:sz w:val="20"/>
        <w:szCs w:val="20"/>
      </w:rPr>
      <w:t>E-mail: unbr@unbr.ro; Website: www.unbr.ro</w:t>
    </w:r>
  </w:p>
  <w:p w14:paraId="482DB86C" w14:textId="77777777" w:rsidR="00AA4A2F" w:rsidRPr="006101BC" w:rsidRDefault="00AA4A2F" w:rsidP="00AA4A2F">
    <w:pPr>
      <w:pStyle w:val="Footer"/>
      <w:jc w:val="center"/>
      <w:rPr>
        <w:rFonts w:ascii="Calibri Light" w:hAnsi="Calibri Light"/>
        <w:color w:val="800000"/>
        <w:sz w:val="20"/>
        <w:szCs w:val="20"/>
      </w:rPr>
    </w:pPr>
    <w:r w:rsidRPr="006101BC">
      <w:rPr>
        <w:rFonts w:ascii="Calibri Light" w:hAnsi="Calibri Light"/>
        <w:color w:val="800000"/>
        <w:sz w:val="20"/>
        <w:szCs w:val="20"/>
      </w:rPr>
      <w:t>U.N.B.R. este operator de date personale înregistrat sub nr.: 34779, 34781, 34782, 34783.</w:t>
    </w:r>
  </w:p>
  <w:p w14:paraId="1D08F0D0" w14:textId="77777777" w:rsidR="00E92F96" w:rsidRDefault="00E92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CD4AF" w14:textId="77777777" w:rsidR="00667F96" w:rsidRDefault="00667F96" w:rsidP="0078639A">
      <w:r>
        <w:separator/>
      </w:r>
    </w:p>
  </w:footnote>
  <w:footnote w:type="continuationSeparator" w:id="0">
    <w:p w14:paraId="372A1ED0" w14:textId="77777777" w:rsidR="00667F96" w:rsidRDefault="00667F96" w:rsidP="0078639A">
      <w:r>
        <w:continuationSeparator/>
      </w:r>
    </w:p>
  </w:footnote>
  <w:footnote w:id="1">
    <w:p w14:paraId="726A9276" w14:textId="0DA9FFD1" w:rsidR="00AA375F" w:rsidRDefault="00AA375F" w:rsidP="00486CBE">
      <w:pPr>
        <w:pStyle w:val="FootnoteText"/>
        <w:jc w:val="both"/>
      </w:pPr>
      <w:r>
        <w:rPr>
          <w:rStyle w:val="FootnoteReference"/>
        </w:rPr>
        <w:footnoteRef/>
      </w:r>
      <w:r>
        <w:t xml:space="preserve"> Propunerea noastră ar putea fi „</w:t>
      </w:r>
      <w:proofErr w:type="spellStart"/>
      <w:r>
        <w:t>inadmisbilitatea</w:t>
      </w:r>
      <w:proofErr w:type="spellEnd"/>
      <w:r>
        <w:t>”, de</w:t>
      </w:r>
      <w:r w:rsidR="00142D11">
        <w:t>ș</w:t>
      </w:r>
      <w:r>
        <w:t>i un asemenea concept ar putea ridica probleme de constitu</w:t>
      </w:r>
      <w:r w:rsidR="00142D11">
        <w:t>ț</w:t>
      </w:r>
      <w:r>
        <w:t xml:space="preserve">ionalitate </w:t>
      </w:r>
      <w:r w:rsidR="00142D11">
        <w:t>ș</w:t>
      </w:r>
      <w:r>
        <w:t>i conven</w:t>
      </w:r>
      <w:r w:rsidR="00142D11">
        <w:t>ț</w:t>
      </w:r>
      <w:r>
        <w:t>ionalitate, de</w:t>
      </w:r>
      <w:r w:rsidR="00142D11">
        <w:t>ș</w:t>
      </w:r>
      <w:r>
        <w:t>i NCPC folose</w:t>
      </w:r>
      <w:r w:rsidR="00142D11">
        <w:t>ș</w:t>
      </w:r>
      <w:r>
        <w:t>te această formă de respingere în cazul cererilor de recuzare formulate în cele trei cazuri de la art. 47 NCPC; de asemenea, nulitatea unei asemenea cereri ar putea fi sus</w:t>
      </w:r>
      <w:r w:rsidR="00142D11">
        <w:t>ț</w:t>
      </w:r>
      <w:r>
        <w:t xml:space="preserve">inută </w:t>
      </w:r>
      <w:r w:rsidR="00142D11">
        <w:t>ș</w:t>
      </w:r>
      <w:r>
        <w:t>i prin raportare la sanc</w:t>
      </w:r>
      <w:r w:rsidR="00142D11">
        <w:t>ț</w:t>
      </w:r>
      <w:r>
        <w:t>iunea reglementată în cazul procedurii regularizării cererii de chemare în judecată.</w:t>
      </w:r>
    </w:p>
  </w:footnote>
  <w:footnote w:id="2">
    <w:p w14:paraId="7D81B206" w14:textId="73D49DB9" w:rsidR="00AA375F" w:rsidRDefault="00AA375F" w:rsidP="00AA375F">
      <w:pPr>
        <w:pStyle w:val="FootnoteText"/>
        <w:jc w:val="both"/>
      </w:pPr>
      <w:r>
        <w:rPr>
          <w:rStyle w:val="FootnoteReference"/>
        </w:rPr>
        <w:footnoteRef/>
      </w:r>
      <w:r>
        <w:t xml:space="preserve"> </w:t>
      </w:r>
      <w:r>
        <w:t>Dintre argumentele re</w:t>
      </w:r>
      <w:r w:rsidR="00142D11">
        <w:t>ț</w:t>
      </w:r>
      <w:r>
        <w:t>inute de CCR în Decizia nr. 462/2014 re</w:t>
      </w:r>
      <w:r w:rsidR="00142D11">
        <w:t>ț</w:t>
      </w:r>
      <w:r>
        <w:t>inem următoarele: limitarea dreptului unor păr</w:t>
      </w:r>
      <w:r w:rsidR="00142D11">
        <w:t>ț</w:t>
      </w:r>
      <w:r>
        <w:t xml:space="preserve">i ale unuia </w:t>
      </w:r>
      <w:r w:rsidR="00142D11">
        <w:t>ș</w:t>
      </w:r>
      <w:r>
        <w:t>i aceluia</w:t>
      </w:r>
      <w:r w:rsidR="00142D11">
        <w:t>ș</w:t>
      </w:r>
      <w:r>
        <w:t>i proces de a exercita căile legale de atac constituie o limitare a accesului liber la justi</w:t>
      </w:r>
      <w:r w:rsidR="00142D11">
        <w:t>ț</w:t>
      </w:r>
      <w:r>
        <w:t>ie; Curtea re</w:t>
      </w:r>
      <w:r w:rsidR="00142D11">
        <w:t>ț</w:t>
      </w:r>
      <w:r>
        <w:t>ine că stabilirea unor condi</w:t>
      </w:r>
      <w:r w:rsidR="00142D11">
        <w:t>ț</w:t>
      </w:r>
      <w:r>
        <w:t>ionări pentru introducerea ac</w:t>
      </w:r>
      <w:r w:rsidR="00142D11">
        <w:t>ț</w:t>
      </w:r>
      <w:r>
        <w:t>iunilor în justi</w:t>
      </w:r>
      <w:r w:rsidR="00142D11">
        <w:t>ț</w:t>
      </w:r>
      <w:r>
        <w:t>ie nu constituie, în sine, o încălcare a accesului liber la justi</w:t>
      </w:r>
      <w:r w:rsidR="00142D11">
        <w:t>ț</w:t>
      </w:r>
      <w:r>
        <w:t>ie, el presupunând accesul la mijloacele procedurale prin care se înfăptuie</w:t>
      </w:r>
      <w:r w:rsidR="00142D11">
        <w:t>ș</w:t>
      </w:r>
      <w:r>
        <w:t>te justi</w:t>
      </w:r>
      <w:r w:rsidR="00142D11">
        <w:t>ț</w:t>
      </w:r>
      <w:r>
        <w:t>ia, fiind de competen</w:t>
      </w:r>
      <w:r w:rsidR="00142D11">
        <w:t>ț</w:t>
      </w:r>
      <w:r>
        <w:t>a exclusivă a legiuitorului de a institui regulile de desfă</w:t>
      </w:r>
      <w:r w:rsidR="00142D11">
        <w:t>ș</w:t>
      </w:r>
      <w:r>
        <w:t>urare a procesului în fa</w:t>
      </w:r>
      <w:r w:rsidR="00142D11">
        <w:t>ț</w:t>
      </w:r>
      <w:r>
        <w:t>a instan</w:t>
      </w:r>
      <w:r w:rsidR="00142D11">
        <w:t>ț</w:t>
      </w:r>
      <w:r>
        <w:t>elor judecătore</w:t>
      </w:r>
      <w:r w:rsidR="00142D11">
        <w:t>ș</w:t>
      </w:r>
      <w:r>
        <w:t>ti; instituirea unei căi de atac ca modalitate de acces la justi</w:t>
      </w:r>
      <w:r w:rsidR="00142D11">
        <w:t>ț</w:t>
      </w:r>
      <w:r>
        <w:t xml:space="preserve">ie implică în mod necesar </w:t>
      </w:r>
      <w:r w:rsidR="00142D11">
        <w:t>ș</w:t>
      </w:r>
      <w:r>
        <w:t>i asigurarea posibilită</w:t>
      </w:r>
      <w:r w:rsidR="00142D11">
        <w:t>ț</w:t>
      </w:r>
      <w:r>
        <w:t>ii de a o utiliza pentru to</w:t>
      </w:r>
      <w:r w:rsidR="00142D11">
        <w:t>ț</w:t>
      </w:r>
      <w:r>
        <w:t xml:space="preserve">i cei care au un drept, un interes legitim, capacitate </w:t>
      </w:r>
      <w:r w:rsidR="00142D11">
        <w:t>ș</w:t>
      </w:r>
      <w:r>
        <w:t xml:space="preserve">i calitate procesuală; dacă legiuitorul prevede obligativitatea reprezentării </w:t>
      </w:r>
      <w:r w:rsidR="00142D11">
        <w:t>ș</w:t>
      </w:r>
      <w:r>
        <w:t>i asistării prin avocat în etapa procesuală a recursului, trebuie să reglementeze un mecanism de natură a permite realizarea scopului legitim urmărit la standardul calitativ propus, fără a impune o sarcină excesivă păr</w:t>
      </w:r>
      <w:r w:rsidR="00142D11">
        <w:t>ț</w:t>
      </w:r>
      <w:r>
        <w:t>ilor, indiferent de natura acesteia.; Curtea constată că ajutorul public judiciar prive</w:t>
      </w:r>
      <w:r w:rsidR="00142D11">
        <w:t>ș</w:t>
      </w:r>
      <w:r>
        <w:t>te o categorie redusă de cetă</w:t>
      </w:r>
      <w:r w:rsidR="00142D11">
        <w:t>ț</w:t>
      </w:r>
      <w:r>
        <w:t xml:space="preserve">eni, având în vedere </w:t>
      </w:r>
      <w:r w:rsidR="00142D11">
        <w:t>ș</w:t>
      </w:r>
      <w:r>
        <w:t xml:space="preserve">i faptul că, pe lângă limitele de venit stabilite, se poate beneficia de acest ajutor numai într-o anumită limită în cursul unui an, limită ce se referă la toate formele de ajutor public judiciar, </w:t>
      </w:r>
      <w:r w:rsidR="00142D11">
        <w:t>ș</w:t>
      </w:r>
      <w:r>
        <w:t>i nu doar la asisten</w:t>
      </w:r>
      <w:r w:rsidR="00142D11">
        <w:t>ț</w:t>
      </w:r>
      <w:r>
        <w:t>a juridică prin avocat necesară pentru îndeplinirea condi</w:t>
      </w:r>
      <w:r w:rsidR="00142D11">
        <w:t>ț</w:t>
      </w:r>
      <w:r>
        <w:t>iei de admisibilitate a recursului; ajutorul public judiciar nu î</w:t>
      </w:r>
      <w:r w:rsidR="00142D11">
        <w:t>ș</w:t>
      </w:r>
      <w:r>
        <w:t>i găse</w:t>
      </w:r>
      <w:r w:rsidR="00142D11">
        <w:t>ș</w:t>
      </w:r>
      <w:r>
        <w:t>te inciden</w:t>
      </w:r>
      <w:r w:rsidR="00142D11">
        <w:t>ț</w:t>
      </w:r>
      <w:r>
        <w:t xml:space="preserve">a </w:t>
      </w:r>
      <w:r w:rsidR="00142D11">
        <w:t>ș</w:t>
      </w:r>
      <w:r>
        <w:t>i aplicarea în privin</w:t>
      </w:r>
      <w:r w:rsidR="00142D11">
        <w:t>ț</w:t>
      </w:r>
      <w:r>
        <w:t xml:space="preserve">a </w:t>
      </w:r>
      <w:proofErr w:type="spellStart"/>
      <w:r>
        <w:t>cvasimajorită</w:t>
      </w:r>
      <w:r w:rsidR="00142D11">
        <w:t>ț</w:t>
      </w:r>
      <w:r>
        <w:t>ii</w:t>
      </w:r>
      <w:proofErr w:type="spellEnd"/>
      <w:r>
        <w:t xml:space="preserve"> cetă</w:t>
      </w:r>
      <w:r w:rsidR="00142D11">
        <w:t>ț</w:t>
      </w:r>
      <w:r>
        <w:t>enilor, ceea ce echivalează cu reducerea corespunzătoare a patrimoniului lor, fără ca această reducere să reprezinte contravaloarea unui serviciu prestat de autorită</w:t>
      </w:r>
      <w:r w:rsidR="00142D11">
        <w:t>ț</w:t>
      </w:r>
      <w:r>
        <w:t>ile statului. De aceea, ajutorul public judiciar nu poate fi considerat un remediu judiciar capabil să asigure accesul tuturor cetă</w:t>
      </w:r>
      <w:r w:rsidR="00142D11">
        <w:t>ț</w:t>
      </w:r>
      <w:r>
        <w:t>enilor la calea de atac a recursului; Curtea re</w:t>
      </w:r>
      <w:r w:rsidR="00142D11">
        <w:t>ț</w:t>
      </w:r>
      <w:r>
        <w:t>ine că statul nu a reu</w:t>
      </w:r>
      <w:r w:rsidR="00142D11">
        <w:t>ș</w:t>
      </w:r>
      <w:r>
        <w:t xml:space="preserve">it să implementeze un mecanism coerent </w:t>
      </w:r>
      <w:r w:rsidR="00142D11">
        <w:t>ș</w:t>
      </w:r>
      <w:r>
        <w:t>i eficient care să asigure posibilitatea efectivă a cetă</w:t>
      </w:r>
      <w:r w:rsidR="00142D11">
        <w:t>ț</w:t>
      </w:r>
      <w:r>
        <w:t>enilor de a recurge la calea de atac a recursului.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D51C" w14:textId="3E1A0F85" w:rsidR="004058B6" w:rsidRDefault="00895C77" w:rsidP="00E92F96">
    <w:pPr>
      <w:pStyle w:val="Header"/>
      <w:tabs>
        <w:tab w:val="clear" w:pos="9406"/>
        <w:tab w:val="right" w:pos="9072"/>
      </w:tabs>
    </w:pPr>
    <w:r>
      <w:rPr>
        <w:noProof/>
        <w:lang w:val="en-US"/>
      </w:rPr>
      <w:drawing>
        <wp:inline distT="0" distB="0" distL="0" distR="0" wp14:anchorId="63F473C8" wp14:editId="4A190D25">
          <wp:extent cx="5764530" cy="1200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1200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61AAA"/>
    <w:multiLevelType w:val="hybridMultilevel"/>
    <w:tmpl w:val="F58CA802"/>
    <w:lvl w:ilvl="0" w:tplc="02DE4776">
      <w:start w:val="1"/>
      <w:numFmt w:val="bullet"/>
      <w:lvlText w:val="-"/>
      <w:lvlJc w:val="left"/>
      <w:pPr>
        <w:ind w:left="720" w:hanging="360"/>
      </w:pPr>
      <w:rPr>
        <w:rFonts w:ascii="Palatino Linotype" w:eastAsia="Calibri" w:hAnsi="Palatino Linotype"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405A776C"/>
    <w:multiLevelType w:val="hybridMultilevel"/>
    <w:tmpl w:val="96B402FC"/>
    <w:lvl w:ilvl="0" w:tplc="0418000F">
      <w:start w:val="1"/>
      <w:numFmt w:val="decimal"/>
      <w:lvlText w:val="%1."/>
      <w:lvlJc w:val="left"/>
      <w:pPr>
        <w:ind w:left="720" w:hanging="360"/>
      </w:p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47140FAE"/>
    <w:multiLevelType w:val="hybridMultilevel"/>
    <w:tmpl w:val="80B40D5C"/>
    <w:lvl w:ilvl="0" w:tplc="B9B614C0">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553767B6"/>
    <w:multiLevelType w:val="hybridMultilevel"/>
    <w:tmpl w:val="F684B87E"/>
    <w:lvl w:ilvl="0" w:tplc="0418000F">
      <w:start w:val="1"/>
      <w:numFmt w:val="decimal"/>
      <w:lvlText w:val="%1."/>
      <w:lvlJc w:val="left"/>
      <w:pPr>
        <w:ind w:left="720" w:hanging="360"/>
      </w:p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71AD4A45"/>
    <w:multiLevelType w:val="hybridMultilevel"/>
    <w:tmpl w:val="DC960FA6"/>
    <w:lvl w:ilvl="0" w:tplc="E4A66AA0">
      <w:numFmt w:val="bullet"/>
      <w:lvlText w:val="-"/>
      <w:lvlJc w:val="left"/>
      <w:pPr>
        <w:ind w:left="720" w:hanging="360"/>
      </w:pPr>
      <w:rPr>
        <w:rFonts w:ascii="Palatino Linotype" w:eastAsiaTheme="minorHAnsi" w:hAnsi="Palatino Linotype"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9A"/>
    <w:rsid w:val="00024400"/>
    <w:rsid w:val="00035291"/>
    <w:rsid w:val="000373F1"/>
    <w:rsid w:val="0004290A"/>
    <w:rsid w:val="00055969"/>
    <w:rsid w:val="00063526"/>
    <w:rsid w:val="0007736B"/>
    <w:rsid w:val="0008259F"/>
    <w:rsid w:val="000A2141"/>
    <w:rsid w:val="000A24B6"/>
    <w:rsid w:val="000A591E"/>
    <w:rsid w:val="000B1DC6"/>
    <w:rsid w:val="000B6ABC"/>
    <w:rsid w:val="000D315C"/>
    <w:rsid w:val="00104CC5"/>
    <w:rsid w:val="001206C9"/>
    <w:rsid w:val="00123439"/>
    <w:rsid w:val="001320C3"/>
    <w:rsid w:val="00142D11"/>
    <w:rsid w:val="00143B81"/>
    <w:rsid w:val="00146B35"/>
    <w:rsid w:val="0015180E"/>
    <w:rsid w:val="00165115"/>
    <w:rsid w:val="00193723"/>
    <w:rsid w:val="00196F8B"/>
    <w:rsid w:val="001970DB"/>
    <w:rsid w:val="002322D1"/>
    <w:rsid w:val="00235B2D"/>
    <w:rsid w:val="00236874"/>
    <w:rsid w:val="00241F35"/>
    <w:rsid w:val="0025015B"/>
    <w:rsid w:val="002508C2"/>
    <w:rsid w:val="002855B4"/>
    <w:rsid w:val="00285BB4"/>
    <w:rsid w:val="00294783"/>
    <w:rsid w:val="002D4F90"/>
    <w:rsid w:val="0032527F"/>
    <w:rsid w:val="00352AD0"/>
    <w:rsid w:val="00381706"/>
    <w:rsid w:val="003B55C5"/>
    <w:rsid w:val="00401D93"/>
    <w:rsid w:val="004058B6"/>
    <w:rsid w:val="00407BEB"/>
    <w:rsid w:val="00422C9B"/>
    <w:rsid w:val="00424F0A"/>
    <w:rsid w:val="00435E3E"/>
    <w:rsid w:val="00456A0A"/>
    <w:rsid w:val="00472F22"/>
    <w:rsid w:val="00474D78"/>
    <w:rsid w:val="004764B6"/>
    <w:rsid w:val="00486CBE"/>
    <w:rsid w:val="00497C6A"/>
    <w:rsid w:val="004A3A17"/>
    <w:rsid w:val="004B0114"/>
    <w:rsid w:val="004D3173"/>
    <w:rsid w:val="004F5800"/>
    <w:rsid w:val="00575263"/>
    <w:rsid w:val="00576F75"/>
    <w:rsid w:val="005B39A9"/>
    <w:rsid w:val="005C61D3"/>
    <w:rsid w:val="005F1B94"/>
    <w:rsid w:val="006324CF"/>
    <w:rsid w:val="00633B2E"/>
    <w:rsid w:val="00637CC7"/>
    <w:rsid w:val="00667F96"/>
    <w:rsid w:val="00671DDE"/>
    <w:rsid w:val="006759A3"/>
    <w:rsid w:val="006769F8"/>
    <w:rsid w:val="00691EB7"/>
    <w:rsid w:val="006B262E"/>
    <w:rsid w:val="006D5D4D"/>
    <w:rsid w:val="006E5829"/>
    <w:rsid w:val="00731697"/>
    <w:rsid w:val="00752A7B"/>
    <w:rsid w:val="0075596B"/>
    <w:rsid w:val="007575CC"/>
    <w:rsid w:val="00765D3E"/>
    <w:rsid w:val="0078639A"/>
    <w:rsid w:val="0079287D"/>
    <w:rsid w:val="0079499F"/>
    <w:rsid w:val="007D1743"/>
    <w:rsid w:val="00805E92"/>
    <w:rsid w:val="00806AE7"/>
    <w:rsid w:val="0080717F"/>
    <w:rsid w:val="00813AF8"/>
    <w:rsid w:val="00814A97"/>
    <w:rsid w:val="0082054B"/>
    <w:rsid w:val="00824452"/>
    <w:rsid w:val="00840B29"/>
    <w:rsid w:val="008516C8"/>
    <w:rsid w:val="00876201"/>
    <w:rsid w:val="00885553"/>
    <w:rsid w:val="008938C6"/>
    <w:rsid w:val="00895C77"/>
    <w:rsid w:val="00902169"/>
    <w:rsid w:val="00904FA4"/>
    <w:rsid w:val="0091417E"/>
    <w:rsid w:val="00941076"/>
    <w:rsid w:val="00954231"/>
    <w:rsid w:val="00956E03"/>
    <w:rsid w:val="00983079"/>
    <w:rsid w:val="00985B5E"/>
    <w:rsid w:val="00990029"/>
    <w:rsid w:val="00993FFC"/>
    <w:rsid w:val="009D3866"/>
    <w:rsid w:val="009E5B03"/>
    <w:rsid w:val="009E782D"/>
    <w:rsid w:val="00A02672"/>
    <w:rsid w:val="00A10D78"/>
    <w:rsid w:val="00A35A1F"/>
    <w:rsid w:val="00A449E5"/>
    <w:rsid w:val="00A555A9"/>
    <w:rsid w:val="00A61B86"/>
    <w:rsid w:val="00A75C3A"/>
    <w:rsid w:val="00A90553"/>
    <w:rsid w:val="00A94754"/>
    <w:rsid w:val="00A96862"/>
    <w:rsid w:val="00AA1235"/>
    <w:rsid w:val="00AA375F"/>
    <w:rsid w:val="00AA4A2F"/>
    <w:rsid w:val="00AB4118"/>
    <w:rsid w:val="00AD0024"/>
    <w:rsid w:val="00AF28AA"/>
    <w:rsid w:val="00AF3555"/>
    <w:rsid w:val="00B826BF"/>
    <w:rsid w:val="00B85FB2"/>
    <w:rsid w:val="00BA587C"/>
    <w:rsid w:val="00BC1CD5"/>
    <w:rsid w:val="00BC30A8"/>
    <w:rsid w:val="00BE3CE8"/>
    <w:rsid w:val="00BE41F8"/>
    <w:rsid w:val="00BF4D22"/>
    <w:rsid w:val="00C31650"/>
    <w:rsid w:val="00C32F7F"/>
    <w:rsid w:val="00C37393"/>
    <w:rsid w:val="00C44AD5"/>
    <w:rsid w:val="00C574C9"/>
    <w:rsid w:val="00C7445F"/>
    <w:rsid w:val="00CA0FB4"/>
    <w:rsid w:val="00CB2986"/>
    <w:rsid w:val="00CF4B41"/>
    <w:rsid w:val="00D03891"/>
    <w:rsid w:val="00D05998"/>
    <w:rsid w:val="00D12D83"/>
    <w:rsid w:val="00D350EB"/>
    <w:rsid w:val="00D5095B"/>
    <w:rsid w:val="00D6548E"/>
    <w:rsid w:val="00D74C27"/>
    <w:rsid w:val="00D80FCD"/>
    <w:rsid w:val="00D873E5"/>
    <w:rsid w:val="00D91E8D"/>
    <w:rsid w:val="00D9286C"/>
    <w:rsid w:val="00DD6488"/>
    <w:rsid w:val="00DE16F0"/>
    <w:rsid w:val="00DE69DE"/>
    <w:rsid w:val="00DE74FA"/>
    <w:rsid w:val="00E2015D"/>
    <w:rsid w:val="00E6304B"/>
    <w:rsid w:val="00E74A0A"/>
    <w:rsid w:val="00E92F96"/>
    <w:rsid w:val="00E97899"/>
    <w:rsid w:val="00EC0602"/>
    <w:rsid w:val="00EF7FB4"/>
    <w:rsid w:val="00F0624E"/>
    <w:rsid w:val="00F529DB"/>
    <w:rsid w:val="00F612FC"/>
    <w:rsid w:val="00F72398"/>
    <w:rsid w:val="00F7485C"/>
    <w:rsid w:val="00F902C6"/>
    <w:rsid w:val="00F95081"/>
    <w:rsid w:val="00FA7409"/>
    <w:rsid w:val="00FB37D7"/>
    <w:rsid w:val="00FB66C5"/>
    <w:rsid w:val="00FD6B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63FA5"/>
  <w15:chartTrackingRefBased/>
  <w15:docId w15:val="{4F310F77-A890-418D-8AAB-64722C97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semiHidden="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qFormat/>
    <w:rsid w:val="0008259F"/>
    <w:pPr>
      <w:keepNext/>
      <w:jc w:val="center"/>
      <w:outlineLvl w:val="0"/>
    </w:pPr>
    <w:rPr>
      <w:rFonts w:eastAsia="Times New Roman"/>
      <w:b/>
      <w:bCs/>
      <w:u w:val="single"/>
    </w:rPr>
  </w:style>
  <w:style w:type="paragraph" w:styleId="Heading4">
    <w:name w:val="heading 4"/>
    <w:basedOn w:val="Normal"/>
    <w:next w:val="Normal"/>
    <w:link w:val="Heading4Char"/>
    <w:semiHidden/>
    <w:unhideWhenUsed/>
    <w:qFormat/>
    <w:rsid w:val="00424F0A"/>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59F"/>
    <w:rPr>
      <w:rFonts w:ascii="Tahoma" w:eastAsia="Times New Roman" w:hAnsi="Tahoma" w:cs="Tahoma"/>
      <w:b/>
      <w:bCs/>
      <w:sz w:val="24"/>
      <w:szCs w:val="24"/>
      <w:u w:val="single"/>
      <w:lang w:eastAsia="zh-CN"/>
    </w:rPr>
  </w:style>
  <w:style w:type="table" w:styleId="TableGrid">
    <w:name w:val="Table Grid"/>
    <w:basedOn w:val="TableNormal"/>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39A"/>
    <w:pPr>
      <w:tabs>
        <w:tab w:val="center" w:pos="4703"/>
        <w:tab w:val="right" w:pos="9406"/>
      </w:tabs>
    </w:pPr>
  </w:style>
  <w:style w:type="character" w:customStyle="1" w:styleId="HeaderChar">
    <w:name w:val="Header Char"/>
    <w:basedOn w:val="DefaultParagraphFont"/>
    <w:link w:val="Header"/>
    <w:rsid w:val="0078639A"/>
  </w:style>
  <w:style w:type="paragraph" w:styleId="Footer">
    <w:name w:val="footer"/>
    <w:basedOn w:val="Normal"/>
    <w:link w:val="FooterChar"/>
    <w:uiPriority w:val="99"/>
    <w:rsid w:val="0078639A"/>
    <w:pPr>
      <w:tabs>
        <w:tab w:val="center" w:pos="4703"/>
        <w:tab w:val="right" w:pos="9406"/>
      </w:tabs>
    </w:pPr>
  </w:style>
  <w:style w:type="character" w:customStyle="1" w:styleId="FooterChar">
    <w:name w:val="Footer Char"/>
    <w:basedOn w:val="DefaultParagraphFont"/>
    <w:link w:val="Footer"/>
    <w:uiPriority w:val="99"/>
    <w:rsid w:val="0078639A"/>
  </w:style>
  <w:style w:type="paragraph" w:styleId="BalloonText">
    <w:name w:val="Balloon Text"/>
    <w:basedOn w:val="Normal"/>
    <w:link w:val="BalloonTextChar"/>
    <w:rsid w:val="0078639A"/>
    <w:rPr>
      <w:rFonts w:ascii="Tahoma" w:hAnsi="Tahoma" w:cs="Tahoma"/>
      <w:sz w:val="16"/>
      <w:szCs w:val="16"/>
    </w:rPr>
  </w:style>
  <w:style w:type="character" w:customStyle="1" w:styleId="BalloonTextChar">
    <w:name w:val="Balloon Text Char"/>
    <w:link w:val="BalloonText"/>
    <w:rsid w:val="0078639A"/>
    <w:rPr>
      <w:rFonts w:ascii="Tahoma" w:hAnsi="Tahoma" w:cs="Tahoma"/>
      <w:sz w:val="16"/>
      <w:szCs w:val="16"/>
    </w:rPr>
  </w:style>
  <w:style w:type="paragraph" w:styleId="BodyText">
    <w:name w:val="Body Text"/>
    <w:basedOn w:val="Normal"/>
    <w:rsid w:val="00024400"/>
    <w:pPr>
      <w:spacing w:after="120"/>
    </w:pPr>
    <w:rPr>
      <w:rFonts w:ascii="Avant" w:eastAsia="Times New Roman" w:hAnsi="Avant"/>
      <w:szCs w:val="20"/>
    </w:rPr>
  </w:style>
  <w:style w:type="paragraph" w:styleId="List">
    <w:name w:val="List"/>
    <w:basedOn w:val="Normal"/>
    <w:rsid w:val="00024400"/>
    <w:pPr>
      <w:ind w:left="283" w:hanging="283"/>
    </w:pPr>
    <w:rPr>
      <w:rFonts w:ascii="Avant" w:eastAsia="Times New Roman" w:hAnsi="Avant"/>
      <w:szCs w:val="20"/>
    </w:rPr>
  </w:style>
  <w:style w:type="character" w:customStyle="1" w:styleId="Bodytext4">
    <w:name w:val="Body text (4)_"/>
    <w:link w:val="Bodytext40"/>
    <w:locked/>
    <w:rsid w:val="00C32F7F"/>
    <w:rPr>
      <w:rFonts w:ascii="Arial" w:hAnsi="Arial"/>
      <w:b/>
      <w:bCs/>
      <w:shd w:val="clear" w:color="auto" w:fill="FFFFFF"/>
      <w:lang w:bidi="ar-SA"/>
    </w:rPr>
  </w:style>
  <w:style w:type="paragraph" w:customStyle="1" w:styleId="Bodytext40">
    <w:name w:val="Body text (4)"/>
    <w:basedOn w:val="Normal"/>
    <w:link w:val="Bodytext4"/>
    <w:rsid w:val="00C32F7F"/>
    <w:pPr>
      <w:widowControl w:val="0"/>
      <w:shd w:val="clear" w:color="auto" w:fill="FFFFFF"/>
      <w:spacing w:before="960" w:line="274" w:lineRule="exact"/>
      <w:jc w:val="center"/>
    </w:pPr>
    <w:rPr>
      <w:b/>
      <w:bCs/>
      <w:sz w:val="20"/>
      <w:szCs w:val="20"/>
      <w:shd w:val="clear" w:color="auto" w:fill="FFFFFF"/>
      <w:lang w:val="x-none" w:eastAsia="x-none"/>
    </w:rPr>
  </w:style>
  <w:style w:type="paragraph" w:styleId="ListParagraph">
    <w:name w:val="List Paragraph"/>
    <w:basedOn w:val="Normal"/>
    <w:uiPriority w:val="34"/>
    <w:qFormat/>
    <w:rsid w:val="00D9286C"/>
    <w:pPr>
      <w:spacing w:after="160" w:line="256" w:lineRule="auto"/>
      <w:ind w:left="720"/>
      <w:contextualSpacing/>
    </w:pPr>
    <w:rPr>
      <w:rFonts w:ascii="Calibri" w:hAnsi="Calibri"/>
      <w:sz w:val="22"/>
      <w:szCs w:val="22"/>
    </w:rPr>
  </w:style>
  <w:style w:type="character" w:styleId="Hyperlink">
    <w:name w:val="Hyperlink"/>
    <w:uiPriority w:val="99"/>
    <w:unhideWhenUsed/>
    <w:rsid w:val="00941076"/>
    <w:rPr>
      <w:color w:val="0000FF"/>
      <w:u w:val="single"/>
    </w:rPr>
  </w:style>
  <w:style w:type="character" w:styleId="UnresolvedMention">
    <w:name w:val="Unresolved Mention"/>
    <w:uiPriority w:val="99"/>
    <w:semiHidden/>
    <w:unhideWhenUsed/>
    <w:rsid w:val="004F5800"/>
    <w:rPr>
      <w:color w:val="605E5C"/>
      <w:shd w:val="clear" w:color="auto" w:fill="E1DFDD"/>
    </w:rPr>
  </w:style>
  <w:style w:type="character" w:customStyle="1" w:styleId="Heading4Char">
    <w:name w:val="Heading 4 Char"/>
    <w:link w:val="Heading4"/>
    <w:semiHidden/>
    <w:rsid w:val="00424F0A"/>
    <w:rPr>
      <w:rFonts w:ascii="Calibri" w:eastAsia="Times New Roman" w:hAnsi="Calibri" w:cs="Times New Roman"/>
      <w:b/>
      <w:bCs/>
      <w:sz w:val="28"/>
      <w:szCs w:val="28"/>
      <w:lang w:eastAsia="en-US"/>
    </w:rPr>
  </w:style>
  <w:style w:type="paragraph" w:styleId="FootnoteText">
    <w:name w:val="footnote text"/>
    <w:basedOn w:val="Normal"/>
    <w:link w:val="FootnoteTextChar"/>
    <w:uiPriority w:val="99"/>
    <w:unhideWhenUsed/>
    <w:rsid w:val="00AA375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A375F"/>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AA37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72198">
      <w:bodyDiv w:val="1"/>
      <w:marLeft w:val="0"/>
      <w:marRight w:val="0"/>
      <w:marTop w:val="0"/>
      <w:marBottom w:val="0"/>
      <w:divBdr>
        <w:top w:val="none" w:sz="0" w:space="0" w:color="auto"/>
        <w:left w:val="none" w:sz="0" w:space="0" w:color="auto"/>
        <w:bottom w:val="none" w:sz="0" w:space="0" w:color="auto"/>
        <w:right w:val="none" w:sz="0" w:space="0" w:color="auto"/>
      </w:divBdr>
    </w:div>
    <w:div w:id="309214666">
      <w:bodyDiv w:val="1"/>
      <w:marLeft w:val="0"/>
      <w:marRight w:val="0"/>
      <w:marTop w:val="0"/>
      <w:marBottom w:val="0"/>
      <w:divBdr>
        <w:top w:val="none" w:sz="0" w:space="0" w:color="auto"/>
        <w:left w:val="none" w:sz="0" w:space="0" w:color="auto"/>
        <w:bottom w:val="none" w:sz="0" w:space="0" w:color="auto"/>
        <w:right w:val="none" w:sz="0" w:space="0" w:color="auto"/>
      </w:divBdr>
      <w:divsChild>
        <w:div w:id="779568020">
          <w:marLeft w:val="0"/>
          <w:marRight w:val="0"/>
          <w:marTop w:val="0"/>
          <w:marBottom w:val="0"/>
          <w:divBdr>
            <w:top w:val="none" w:sz="0" w:space="0" w:color="auto"/>
            <w:left w:val="none" w:sz="0" w:space="0" w:color="auto"/>
            <w:bottom w:val="none" w:sz="0" w:space="0" w:color="auto"/>
            <w:right w:val="none" w:sz="0" w:space="0" w:color="auto"/>
          </w:divBdr>
        </w:div>
      </w:divsChild>
    </w:div>
    <w:div w:id="779765794">
      <w:bodyDiv w:val="1"/>
      <w:marLeft w:val="0"/>
      <w:marRight w:val="0"/>
      <w:marTop w:val="0"/>
      <w:marBottom w:val="0"/>
      <w:divBdr>
        <w:top w:val="none" w:sz="0" w:space="0" w:color="auto"/>
        <w:left w:val="none" w:sz="0" w:space="0" w:color="auto"/>
        <w:bottom w:val="none" w:sz="0" w:space="0" w:color="auto"/>
        <w:right w:val="none" w:sz="0" w:space="0" w:color="auto"/>
      </w:divBdr>
    </w:div>
    <w:div w:id="851148175">
      <w:bodyDiv w:val="1"/>
      <w:marLeft w:val="0"/>
      <w:marRight w:val="0"/>
      <w:marTop w:val="0"/>
      <w:marBottom w:val="0"/>
      <w:divBdr>
        <w:top w:val="none" w:sz="0" w:space="0" w:color="auto"/>
        <w:left w:val="none" w:sz="0" w:space="0" w:color="auto"/>
        <w:bottom w:val="none" w:sz="0" w:space="0" w:color="auto"/>
        <w:right w:val="none" w:sz="0" w:space="0" w:color="auto"/>
      </w:divBdr>
    </w:div>
    <w:div w:id="866523212">
      <w:bodyDiv w:val="1"/>
      <w:marLeft w:val="0"/>
      <w:marRight w:val="0"/>
      <w:marTop w:val="0"/>
      <w:marBottom w:val="0"/>
      <w:divBdr>
        <w:top w:val="none" w:sz="0" w:space="0" w:color="auto"/>
        <w:left w:val="none" w:sz="0" w:space="0" w:color="auto"/>
        <w:bottom w:val="none" w:sz="0" w:space="0" w:color="auto"/>
        <w:right w:val="none" w:sz="0" w:space="0" w:color="auto"/>
      </w:divBdr>
    </w:div>
    <w:div w:id="1605117469">
      <w:bodyDiv w:val="1"/>
      <w:marLeft w:val="0"/>
      <w:marRight w:val="0"/>
      <w:marTop w:val="0"/>
      <w:marBottom w:val="0"/>
      <w:divBdr>
        <w:top w:val="none" w:sz="0" w:space="0" w:color="auto"/>
        <w:left w:val="none" w:sz="0" w:space="0" w:color="auto"/>
        <w:bottom w:val="none" w:sz="0" w:space="0" w:color="auto"/>
        <w:right w:val="none" w:sz="0" w:space="0" w:color="auto"/>
      </w:divBdr>
    </w:div>
    <w:div w:id="1875845736">
      <w:bodyDiv w:val="1"/>
      <w:marLeft w:val="0"/>
      <w:marRight w:val="0"/>
      <w:marTop w:val="0"/>
      <w:marBottom w:val="0"/>
      <w:divBdr>
        <w:top w:val="none" w:sz="0" w:space="0" w:color="auto"/>
        <w:left w:val="none" w:sz="0" w:space="0" w:color="auto"/>
        <w:bottom w:val="none" w:sz="0" w:space="0" w:color="auto"/>
        <w:right w:val="none" w:sz="0" w:space="0" w:color="auto"/>
      </w:divBdr>
    </w:div>
    <w:div w:id="2053335644">
      <w:bodyDiv w:val="1"/>
      <w:marLeft w:val="0"/>
      <w:marRight w:val="0"/>
      <w:marTop w:val="0"/>
      <w:marBottom w:val="0"/>
      <w:divBdr>
        <w:top w:val="none" w:sz="0" w:space="0" w:color="auto"/>
        <w:left w:val="none" w:sz="0" w:space="0" w:color="auto"/>
        <w:bottom w:val="none" w:sz="0" w:space="0" w:color="auto"/>
        <w:right w:val="none" w:sz="0" w:space="0" w:color="auto"/>
      </w:divBdr>
      <w:divsChild>
        <w:div w:id="166752037">
          <w:marLeft w:val="0"/>
          <w:marRight w:val="0"/>
          <w:marTop w:val="0"/>
          <w:marBottom w:val="0"/>
          <w:divBdr>
            <w:top w:val="none" w:sz="0" w:space="0" w:color="auto"/>
            <w:left w:val="none" w:sz="0" w:space="0" w:color="auto"/>
            <w:bottom w:val="none" w:sz="0" w:space="0" w:color="auto"/>
            <w:right w:val="none" w:sz="0" w:space="0" w:color="auto"/>
          </w:divBdr>
        </w:div>
        <w:div w:id="1650135932">
          <w:marLeft w:val="0"/>
          <w:marRight w:val="0"/>
          <w:marTop w:val="0"/>
          <w:marBottom w:val="0"/>
          <w:divBdr>
            <w:top w:val="none" w:sz="0" w:space="0" w:color="auto"/>
            <w:left w:val="none" w:sz="0" w:space="0" w:color="auto"/>
            <w:bottom w:val="none" w:sz="0" w:space="0" w:color="auto"/>
            <w:right w:val="none" w:sz="0" w:space="0" w:color="auto"/>
          </w:divBdr>
          <w:divsChild>
            <w:div w:id="2148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37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11@cdep.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22D52-D366-44AA-AC31-22933C9A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3466</Words>
  <Characters>20109</Characters>
  <DocSecurity>0</DocSecurity>
  <Lines>167</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Nr</vt:lpstr>
      <vt:lpstr>Nr</vt:lpstr>
    </vt:vector>
  </TitlesOfParts>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2020-12-09T07:02:00Z</cp:lastPrinted>
  <dcterms:created xsi:type="dcterms:W3CDTF">2020-12-16T09:02:00Z</dcterms:created>
  <dcterms:modified xsi:type="dcterms:W3CDTF">2020-12-16T09:07:00Z</dcterms:modified>
</cp:coreProperties>
</file>