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297AE" w14:textId="59D0BCC4" w:rsidR="00E37181" w:rsidRPr="008954E3" w:rsidRDefault="008954E3" w:rsidP="008954E3">
      <w:pPr>
        <w:spacing w:after="80" w:line="240" w:lineRule="auto"/>
        <w:rPr>
          <w:b/>
          <w:bCs/>
        </w:rPr>
      </w:pPr>
      <w:r w:rsidRPr="008954E3">
        <w:rPr>
          <w:b/>
          <w:bCs/>
        </w:rPr>
        <w:t>Adunarea Parlamentară</w:t>
      </w:r>
    </w:p>
    <w:p w14:paraId="37E68891" w14:textId="2211E297" w:rsidR="008954E3" w:rsidRPr="008954E3" w:rsidRDefault="008954E3" w:rsidP="008954E3">
      <w:pPr>
        <w:spacing w:after="80" w:line="240" w:lineRule="auto"/>
        <w:rPr>
          <w:b/>
          <w:bCs/>
        </w:rPr>
      </w:pPr>
    </w:p>
    <w:p w14:paraId="232E9260" w14:textId="4A5B76A7" w:rsidR="008954E3" w:rsidRPr="008954E3" w:rsidRDefault="008954E3" w:rsidP="008954E3">
      <w:pPr>
        <w:spacing w:after="80" w:line="240" w:lineRule="auto"/>
        <w:rPr>
          <w:b/>
          <w:bCs/>
        </w:rPr>
      </w:pPr>
      <w:r w:rsidRPr="008954E3">
        <w:rPr>
          <w:b/>
          <w:bCs/>
        </w:rPr>
        <w:t>Doc 14376</w:t>
      </w:r>
    </w:p>
    <w:p w14:paraId="31E3CE3E" w14:textId="1812E1E6" w:rsidR="008954E3" w:rsidRPr="008954E3" w:rsidRDefault="008954E3" w:rsidP="008954E3">
      <w:pPr>
        <w:spacing w:after="80" w:line="240" w:lineRule="auto"/>
        <w:rPr>
          <w:b/>
          <w:bCs/>
        </w:rPr>
      </w:pPr>
      <w:r w:rsidRPr="008954E3">
        <w:rPr>
          <w:b/>
          <w:bCs/>
        </w:rPr>
        <w:t>29 iunie 2017</w:t>
      </w:r>
    </w:p>
    <w:p w14:paraId="2770F78B" w14:textId="33D551CF" w:rsidR="008954E3" w:rsidRPr="008954E3" w:rsidRDefault="008954E3" w:rsidP="008954E3">
      <w:pPr>
        <w:spacing w:after="80" w:line="240" w:lineRule="auto"/>
        <w:rPr>
          <w:b/>
          <w:bCs/>
        </w:rPr>
      </w:pPr>
    </w:p>
    <w:p w14:paraId="19B04286" w14:textId="5CB7502F" w:rsidR="008954E3" w:rsidRPr="008954E3" w:rsidRDefault="008954E3" w:rsidP="008954E3">
      <w:pPr>
        <w:spacing w:after="80" w:line="240" w:lineRule="auto"/>
        <w:rPr>
          <w:b/>
          <w:bCs/>
          <w:sz w:val="32"/>
          <w:szCs w:val="32"/>
        </w:rPr>
      </w:pPr>
      <w:r w:rsidRPr="008954E3">
        <w:rPr>
          <w:b/>
          <w:bCs/>
          <w:sz w:val="32"/>
          <w:szCs w:val="32"/>
        </w:rPr>
        <w:t xml:space="preserve">Principiile și garanțiile </w:t>
      </w:r>
      <w:r w:rsidR="009738DE">
        <w:rPr>
          <w:b/>
          <w:bCs/>
          <w:sz w:val="32"/>
          <w:szCs w:val="32"/>
        </w:rPr>
        <w:t>profesiei de avocat</w:t>
      </w:r>
    </w:p>
    <w:p w14:paraId="1F5A419F" w14:textId="64942476" w:rsidR="008954E3" w:rsidRPr="008954E3" w:rsidRDefault="008954E3" w:rsidP="008954E3">
      <w:pPr>
        <w:spacing w:after="80" w:line="240" w:lineRule="auto"/>
        <w:rPr>
          <w:b/>
          <w:bCs/>
        </w:rPr>
      </w:pPr>
    </w:p>
    <w:p w14:paraId="2247A972" w14:textId="74AD036B" w:rsidR="008954E3" w:rsidRPr="008954E3" w:rsidRDefault="008954E3" w:rsidP="008954E3">
      <w:pPr>
        <w:spacing w:after="80" w:line="240" w:lineRule="auto"/>
        <w:rPr>
          <w:b/>
          <w:bCs/>
        </w:rPr>
      </w:pPr>
      <w:r w:rsidRPr="008954E3">
        <w:rPr>
          <w:b/>
          <w:bCs/>
        </w:rPr>
        <w:t>Moțiune pentru o rezoluție</w:t>
      </w:r>
    </w:p>
    <w:p w14:paraId="2C690540" w14:textId="0BF0768D" w:rsidR="008954E3" w:rsidRDefault="008954E3" w:rsidP="008954E3">
      <w:pPr>
        <w:spacing w:after="80" w:line="240" w:lineRule="auto"/>
      </w:pPr>
      <w:r w:rsidRPr="008954E3">
        <w:t xml:space="preserve">Depusă de Georgii LOGVYNSKYI și de alți membri ai Adunării </w:t>
      </w:r>
    </w:p>
    <w:p w14:paraId="1ACD82C3" w14:textId="77777777" w:rsidR="008954E3" w:rsidRDefault="008954E3" w:rsidP="008954E3"/>
    <w:p w14:paraId="7E37B593" w14:textId="5E4614D5" w:rsidR="008954E3" w:rsidRDefault="008954E3" w:rsidP="008954E3">
      <w:pPr>
        <w:pBdr>
          <w:top w:val="single" w:sz="4" w:space="1" w:color="auto"/>
          <w:bottom w:val="single" w:sz="4" w:space="1" w:color="auto"/>
        </w:pBdr>
      </w:pPr>
      <w:r w:rsidRPr="008954E3">
        <w:t>Această moțiune nu a fost discutată în Adunare și angajează doar pe cei care au semnat-o</w:t>
      </w:r>
    </w:p>
    <w:p w14:paraId="5A62D05C" w14:textId="77777777" w:rsidR="008954E3" w:rsidRDefault="008954E3" w:rsidP="00F924D5">
      <w:pPr>
        <w:jc w:val="both"/>
      </w:pPr>
    </w:p>
    <w:p w14:paraId="1BE038BC" w14:textId="374786B7" w:rsidR="008954E3" w:rsidRDefault="008954E3" w:rsidP="00F924D5">
      <w:pPr>
        <w:jc w:val="both"/>
      </w:pPr>
      <w:r>
        <w:t xml:space="preserve">În ultimii ani, </w:t>
      </w:r>
      <w:r w:rsidR="00F924D5">
        <w:t xml:space="preserve">profesia de avocat </w:t>
      </w:r>
      <w:r>
        <w:t>s-a confruntat cu numeroase cazuri de încălcare a drepturilor profesionale ale avocaților</w:t>
      </w:r>
      <w:r w:rsidR="00F924D5">
        <w:t xml:space="preserve"> prin</w:t>
      </w:r>
      <w:r>
        <w:t xml:space="preserve"> restrângerea independenței și autoguvernării </w:t>
      </w:r>
      <w:r w:rsidR="00F924D5">
        <w:t>profesiei,</w:t>
      </w:r>
      <w:r>
        <w:t xml:space="preserve"> prin presiune ilegală, percheziții nejustificate, examinări, colectare ilegală de informații, modificări legislative fără a lua în considerare opinia comunit</w:t>
      </w:r>
      <w:r w:rsidR="00F924D5">
        <w:t>ății</w:t>
      </w:r>
      <w:r>
        <w:t xml:space="preserve"> juridic</w:t>
      </w:r>
      <w:r w:rsidR="00F924D5">
        <w:t>e</w:t>
      </w:r>
      <w:r>
        <w:t>.</w:t>
      </w:r>
    </w:p>
    <w:p w14:paraId="03ED3993" w14:textId="68420D69" w:rsidR="008954E3" w:rsidRDefault="008954E3" w:rsidP="00F924D5">
      <w:pPr>
        <w:jc w:val="both"/>
      </w:pPr>
      <w:r>
        <w:t xml:space="preserve">În același timp, principiile de bază ale ONU privind rolul avocaților, concepute pentru a afirma dreptul la un proces echitabil, afirmă </w:t>
      </w:r>
      <w:r w:rsidR="00F924D5">
        <w:t xml:space="preserve">că </w:t>
      </w:r>
      <w:r>
        <w:t xml:space="preserve">avocații trebuie să aibă garanții pentru îndeplinirea completă și eficientă a funcțiilor lor profesionale </w:t>
      </w:r>
      <w:r w:rsidR="00F924D5">
        <w:t xml:space="preserve">pe durata </w:t>
      </w:r>
      <w:r>
        <w:t>apărării clienți</w:t>
      </w:r>
      <w:r w:rsidR="00F924D5">
        <w:t>lor</w:t>
      </w:r>
      <w:r>
        <w:t xml:space="preserve">. Guvernele </w:t>
      </w:r>
      <w:r w:rsidR="00F924D5">
        <w:t xml:space="preserve">trebuie să </w:t>
      </w:r>
      <w:r>
        <w:t>se asigur</w:t>
      </w:r>
      <w:r w:rsidR="00F924D5">
        <w:t>e</w:t>
      </w:r>
      <w:r>
        <w:t xml:space="preserve"> că avocații:</w:t>
      </w:r>
    </w:p>
    <w:p w14:paraId="5E9672B6" w14:textId="5C62C327" w:rsidR="008954E3" w:rsidRDefault="008954E3" w:rsidP="00F924D5">
      <w:pPr>
        <w:jc w:val="both"/>
      </w:pPr>
      <w:r>
        <w:t>- sunt capabili să își îndeplinească toate funcțiile profesionale fără intimidare, piedică, hărțuire sau interferențe necorespunzătoare;</w:t>
      </w:r>
    </w:p>
    <w:p w14:paraId="5143B234" w14:textId="2A04C989" w:rsidR="008954E3" w:rsidRDefault="008954E3" w:rsidP="00F924D5">
      <w:pPr>
        <w:jc w:val="both"/>
      </w:pPr>
      <w:r>
        <w:t>- sunt capabili să călătorească și să se consulte liber cu clienții lor, atât în ​​țara lor, cât și în străinătate; și</w:t>
      </w:r>
    </w:p>
    <w:p w14:paraId="171E5E4B" w14:textId="3BBD04D6" w:rsidR="008954E3" w:rsidRDefault="008954E3" w:rsidP="00F924D5">
      <w:pPr>
        <w:jc w:val="both"/>
      </w:pPr>
      <w:r>
        <w:t>- nu v</w:t>
      </w:r>
      <w:r w:rsidR="00F924D5">
        <w:t>or</w:t>
      </w:r>
      <w:r>
        <w:t xml:space="preserve"> suferi </w:t>
      </w:r>
      <w:r w:rsidR="009738DE">
        <w:t xml:space="preserve">și nici nu vor </w:t>
      </w:r>
      <w:r>
        <w:t>fi amenința</w:t>
      </w:r>
      <w:r w:rsidR="009738DE">
        <w:t>ți</w:t>
      </w:r>
      <w:r>
        <w:t xml:space="preserve"> cu urmărirea penală sau sancțiuni administrative, economice sau de altă natură pentru orice acțiune întreprinsă în conformitate cu îndatoririle profesionale recunoscute, </w:t>
      </w:r>
      <w:r w:rsidR="009738DE">
        <w:t xml:space="preserve">cu </w:t>
      </w:r>
      <w:r>
        <w:t xml:space="preserve">standardele și </w:t>
      </w:r>
      <w:r w:rsidR="009738DE">
        <w:t>codul deontologic</w:t>
      </w:r>
      <w:r>
        <w:t>.</w:t>
      </w:r>
    </w:p>
    <w:p w14:paraId="031410CE" w14:textId="5D6F4E59" w:rsidR="008954E3" w:rsidRDefault="008954E3" w:rsidP="00F924D5">
      <w:pPr>
        <w:jc w:val="both"/>
      </w:pPr>
      <w:r>
        <w:t>În Rezoluția sa 2154 (2017), Adunarea Parlamentară a observat deja importanța și rolul crucial al avocaților în prevenirea torturilor, a tratamentelor sau pedepselor inumane sau degradante. Adunarea solicită statelor membre să investigheze în mod prompt, eficient și complet independent toate acuzațiile de amenințare, intimidare sau violență împotriva avocaților, inclusiv acuzațiile de crimă.</w:t>
      </w:r>
    </w:p>
    <w:p w14:paraId="753F333D" w14:textId="6B44C626" w:rsidR="008954E3" w:rsidRDefault="008954E3" w:rsidP="00F924D5">
      <w:pPr>
        <w:jc w:val="both"/>
      </w:pPr>
      <w:r>
        <w:t xml:space="preserve">Prin urmare, Adunarea solicită, de asemenea, tuturor organelor competente ale Consiliului Europei și ale statelor membre să ia măsuri </w:t>
      </w:r>
      <w:r w:rsidR="009738DE">
        <w:t xml:space="preserve">pentru aplicarea și protejarea </w:t>
      </w:r>
      <w:r>
        <w:t>principiil</w:t>
      </w:r>
      <w:r w:rsidR="009738DE">
        <w:t>or</w:t>
      </w:r>
      <w:r>
        <w:t xml:space="preserve"> și garanțiil</w:t>
      </w:r>
      <w:r w:rsidR="009738DE">
        <w:t>or</w:t>
      </w:r>
      <w:r>
        <w:t xml:space="preserve"> </w:t>
      </w:r>
      <w:r w:rsidR="009738DE">
        <w:t>profesiei de avocat</w:t>
      </w:r>
      <w:r>
        <w:t>.</w:t>
      </w:r>
    </w:p>
    <w:p w14:paraId="48729FEF" w14:textId="706E5EAD" w:rsidR="009738DE" w:rsidRDefault="009738DE" w:rsidP="00F924D5">
      <w:pPr>
        <w:jc w:val="both"/>
      </w:pPr>
    </w:p>
    <w:p w14:paraId="5532FE4B" w14:textId="0B64E6DA" w:rsidR="009738DE" w:rsidRDefault="009738DE" w:rsidP="00F924D5">
      <w:pPr>
        <w:jc w:val="both"/>
      </w:pPr>
      <w:r>
        <w:t>Semnat</w:t>
      </w:r>
      <w:r>
        <w:rPr>
          <w:rStyle w:val="FootnoteReference"/>
        </w:rPr>
        <w:footnoteReference w:id="1"/>
      </w:r>
      <w:r>
        <w:t xml:space="preserve"> de:</w:t>
      </w:r>
    </w:p>
    <w:p w14:paraId="5C352324" w14:textId="30877555" w:rsidR="009738DE" w:rsidRDefault="009738DE" w:rsidP="009738DE">
      <w:pPr>
        <w:spacing w:after="0" w:line="240" w:lineRule="auto"/>
        <w:jc w:val="both"/>
      </w:pPr>
      <w:r>
        <w:lastRenderedPageBreak/>
        <w:t>LOGVYNSKYI Georgii, Ucraina, EPP/CD</w:t>
      </w:r>
    </w:p>
    <w:p w14:paraId="7D921229" w14:textId="63E11916" w:rsidR="009738DE" w:rsidRDefault="009738DE" w:rsidP="009738DE">
      <w:pPr>
        <w:spacing w:after="0" w:line="240" w:lineRule="auto"/>
        <w:jc w:val="both"/>
      </w:pPr>
      <w:r>
        <w:t xml:space="preserve">ARIEV </w:t>
      </w:r>
      <w:proofErr w:type="spellStart"/>
      <w:r>
        <w:t>Volodymyr</w:t>
      </w:r>
      <w:proofErr w:type="spellEnd"/>
      <w:r>
        <w:t>, Ucraina, EPP/CD</w:t>
      </w:r>
    </w:p>
    <w:p w14:paraId="67CFB949" w14:textId="1AAAED2C" w:rsidR="009738DE" w:rsidRDefault="009738DE" w:rsidP="009738DE">
      <w:pPr>
        <w:spacing w:after="0" w:line="240" w:lineRule="auto"/>
        <w:jc w:val="both"/>
      </w:pPr>
      <w:r>
        <w:t xml:space="preserve">BADEA Viorel </w:t>
      </w:r>
      <w:proofErr w:type="spellStart"/>
      <w:r>
        <w:t>Riceard</w:t>
      </w:r>
      <w:proofErr w:type="spellEnd"/>
      <w:r>
        <w:t>, România, EPP/CD</w:t>
      </w:r>
    </w:p>
    <w:p w14:paraId="2704123E" w14:textId="77777777" w:rsidR="009738DE" w:rsidRDefault="009738DE" w:rsidP="009738DE">
      <w:pPr>
        <w:spacing w:after="0" w:line="240" w:lineRule="auto"/>
        <w:jc w:val="both"/>
      </w:pPr>
      <w:r>
        <w:t xml:space="preserve">BESELIA </w:t>
      </w:r>
      <w:proofErr w:type="spellStart"/>
      <w:r>
        <w:t>Eka</w:t>
      </w:r>
      <w:proofErr w:type="spellEnd"/>
      <w:r>
        <w:t>, Georgia, SOC</w:t>
      </w:r>
    </w:p>
    <w:p w14:paraId="623C9D80" w14:textId="77777777" w:rsidR="009738DE" w:rsidRDefault="009738DE" w:rsidP="009738DE">
      <w:pPr>
        <w:spacing w:after="0" w:line="240" w:lineRule="auto"/>
        <w:jc w:val="both"/>
      </w:pPr>
      <w:r>
        <w:t>BRASSEUR Anne, Luxembourg, ALDE</w:t>
      </w:r>
    </w:p>
    <w:p w14:paraId="4A73348E" w14:textId="2A595E78" w:rsidR="009738DE" w:rsidRDefault="009738DE" w:rsidP="009738DE">
      <w:pPr>
        <w:spacing w:after="0" w:line="240" w:lineRule="auto"/>
        <w:jc w:val="both"/>
      </w:pPr>
      <w:r>
        <w:t xml:space="preserve">BUTKEVIČIUS </w:t>
      </w:r>
      <w:proofErr w:type="spellStart"/>
      <w:r>
        <w:t>Algirdas</w:t>
      </w:r>
      <w:proofErr w:type="spellEnd"/>
      <w:r>
        <w:t>, Lituania, SOC</w:t>
      </w:r>
    </w:p>
    <w:p w14:paraId="40B40B7F" w14:textId="77777777" w:rsidR="009738DE" w:rsidRDefault="009738DE" w:rsidP="009738DE">
      <w:pPr>
        <w:spacing w:after="0" w:line="240" w:lineRule="auto"/>
        <w:jc w:val="both"/>
      </w:pPr>
      <w:r>
        <w:t xml:space="preserve">CILEVIČS </w:t>
      </w:r>
      <w:proofErr w:type="spellStart"/>
      <w:r>
        <w:t>Boriss</w:t>
      </w:r>
      <w:proofErr w:type="spellEnd"/>
      <w:r>
        <w:t xml:space="preserve">, </w:t>
      </w:r>
      <w:proofErr w:type="spellStart"/>
      <w:r>
        <w:t>Latvia</w:t>
      </w:r>
      <w:proofErr w:type="spellEnd"/>
      <w:r>
        <w:t>, SOC</w:t>
      </w:r>
    </w:p>
    <w:p w14:paraId="5629CDCB" w14:textId="72377F83" w:rsidR="009738DE" w:rsidRDefault="009738DE" w:rsidP="009738DE">
      <w:pPr>
        <w:spacing w:after="0" w:line="240" w:lineRule="auto"/>
        <w:jc w:val="both"/>
      </w:pPr>
      <w:r>
        <w:t>DZHEMILIEV Mustafa, Ucraina, EPP/CD</w:t>
      </w:r>
    </w:p>
    <w:p w14:paraId="1CC8C99A" w14:textId="73918696" w:rsidR="009738DE" w:rsidRDefault="009738DE" w:rsidP="009738DE">
      <w:pPr>
        <w:spacing w:after="0" w:line="240" w:lineRule="auto"/>
        <w:jc w:val="both"/>
      </w:pPr>
      <w:r>
        <w:t xml:space="preserve">GERASHCHENKO </w:t>
      </w:r>
      <w:proofErr w:type="spellStart"/>
      <w:r>
        <w:t>Iryna</w:t>
      </w:r>
      <w:proofErr w:type="spellEnd"/>
      <w:r>
        <w:t>, Ucraina, EPP/CD</w:t>
      </w:r>
    </w:p>
    <w:p w14:paraId="5DEADF27" w14:textId="62EF5F7B" w:rsidR="009738DE" w:rsidRDefault="009738DE" w:rsidP="009738DE">
      <w:pPr>
        <w:spacing w:after="0" w:line="240" w:lineRule="auto"/>
        <w:jc w:val="both"/>
      </w:pPr>
      <w:r>
        <w:t>GHILETCHI Valeriu, Moldova, EPP/CD</w:t>
      </w:r>
    </w:p>
    <w:p w14:paraId="167FBC94" w14:textId="438D33D6" w:rsidR="009738DE" w:rsidRDefault="009738DE" w:rsidP="009738DE">
      <w:pPr>
        <w:spacing w:after="0" w:line="240" w:lineRule="auto"/>
        <w:jc w:val="both"/>
      </w:pPr>
      <w:r>
        <w:t xml:space="preserve">GOLUB </w:t>
      </w:r>
      <w:proofErr w:type="spellStart"/>
      <w:r>
        <w:t>Vladyslav</w:t>
      </w:r>
      <w:proofErr w:type="spellEnd"/>
      <w:r>
        <w:t>, Ucraina, EPP/CD</w:t>
      </w:r>
    </w:p>
    <w:p w14:paraId="3D723256" w14:textId="71D438C9" w:rsidR="009738DE" w:rsidRDefault="009738DE" w:rsidP="009738DE">
      <w:pPr>
        <w:spacing w:after="0" w:line="240" w:lineRule="auto"/>
        <w:jc w:val="both"/>
      </w:pPr>
      <w:r>
        <w:t xml:space="preserve">GONCHARENKO </w:t>
      </w:r>
      <w:proofErr w:type="spellStart"/>
      <w:r>
        <w:t>Oleksii</w:t>
      </w:r>
      <w:proofErr w:type="spellEnd"/>
      <w:r>
        <w:t>, Ucraina, EC</w:t>
      </w:r>
    </w:p>
    <w:p w14:paraId="6101EC66" w14:textId="5FF62710" w:rsidR="009738DE" w:rsidRDefault="009738DE" w:rsidP="009738DE">
      <w:pPr>
        <w:spacing w:after="0" w:line="240" w:lineRule="auto"/>
        <w:jc w:val="both"/>
      </w:pPr>
      <w:r>
        <w:t>HEER Alfred, Elveția, ALDE</w:t>
      </w:r>
    </w:p>
    <w:p w14:paraId="21D6F91F" w14:textId="61C64C4A" w:rsidR="009738DE" w:rsidRDefault="009738DE" w:rsidP="009738DE">
      <w:pPr>
        <w:spacing w:after="0" w:line="240" w:lineRule="auto"/>
        <w:jc w:val="both"/>
      </w:pPr>
      <w:r>
        <w:t xml:space="preserve">IONOVA </w:t>
      </w:r>
      <w:proofErr w:type="spellStart"/>
      <w:r>
        <w:t>Mariia</w:t>
      </w:r>
      <w:proofErr w:type="spellEnd"/>
      <w:r>
        <w:t>, Ucraina, EPP/CD</w:t>
      </w:r>
    </w:p>
    <w:p w14:paraId="4F1FDB99" w14:textId="77777777" w:rsidR="009738DE" w:rsidRDefault="009738DE" w:rsidP="009738DE">
      <w:pPr>
        <w:spacing w:after="0" w:line="240" w:lineRule="auto"/>
        <w:jc w:val="both"/>
      </w:pPr>
      <w:r>
        <w:t xml:space="preserve">KANDELAKI </w:t>
      </w:r>
      <w:proofErr w:type="spellStart"/>
      <w:r>
        <w:t>Giorgi</w:t>
      </w:r>
      <w:proofErr w:type="spellEnd"/>
      <w:r>
        <w:t>, Georgia, EPP/CD</w:t>
      </w:r>
    </w:p>
    <w:p w14:paraId="14386569" w14:textId="23047C57" w:rsidR="009738DE" w:rsidRDefault="009738DE" w:rsidP="009738DE">
      <w:pPr>
        <w:spacing w:after="0" w:line="240" w:lineRule="auto"/>
        <w:jc w:val="both"/>
      </w:pPr>
      <w:r>
        <w:t xml:space="preserve">KIRAL </w:t>
      </w:r>
      <w:proofErr w:type="spellStart"/>
      <w:r>
        <w:t>Serhii</w:t>
      </w:r>
      <w:proofErr w:type="spellEnd"/>
      <w:r>
        <w:t>, Ucraina, EC</w:t>
      </w:r>
    </w:p>
    <w:p w14:paraId="5297250A" w14:textId="77777777" w:rsidR="009738DE" w:rsidRDefault="009738DE" w:rsidP="009738DE">
      <w:pPr>
        <w:spacing w:after="0" w:line="240" w:lineRule="auto"/>
        <w:jc w:val="both"/>
      </w:pPr>
      <w:r>
        <w:t xml:space="preserve">KROSS </w:t>
      </w:r>
      <w:proofErr w:type="spellStart"/>
      <w:r>
        <w:t>Eerik-Niiles</w:t>
      </w:r>
      <w:proofErr w:type="spellEnd"/>
      <w:r>
        <w:t>, Estonia, ALDE</w:t>
      </w:r>
    </w:p>
    <w:p w14:paraId="0B74DDCF" w14:textId="5F473545" w:rsidR="009738DE" w:rsidRDefault="009738DE" w:rsidP="009738DE">
      <w:pPr>
        <w:spacing w:after="0" w:line="240" w:lineRule="auto"/>
        <w:jc w:val="both"/>
      </w:pPr>
      <w:r>
        <w:t xml:space="preserve">KYRIAKIDES </w:t>
      </w:r>
      <w:proofErr w:type="spellStart"/>
      <w:r>
        <w:t>Stella</w:t>
      </w:r>
      <w:proofErr w:type="spellEnd"/>
      <w:r>
        <w:t>, Cipru, EPP/CD</w:t>
      </w:r>
    </w:p>
    <w:p w14:paraId="1D6DF444" w14:textId="45D6CA7C" w:rsidR="009738DE" w:rsidRDefault="009738DE" w:rsidP="009738DE">
      <w:pPr>
        <w:spacing w:after="0" w:line="240" w:lineRule="auto"/>
        <w:jc w:val="both"/>
      </w:pPr>
      <w:r>
        <w:t xml:space="preserve">LEŚNIAK </w:t>
      </w:r>
      <w:proofErr w:type="spellStart"/>
      <w:r>
        <w:t>Józef</w:t>
      </w:r>
      <w:proofErr w:type="spellEnd"/>
      <w:r>
        <w:t>, Polonia, EC</w:t>
      </w:r>
    </w:p>
    <w:p w14:paraId="1E4092AC" w14:textId="16AE0D71" w:rsidR="009738DE" w:rsidRDefault="009738DE" w:rsidP="009738DE">
      <w:pPr>
        <w:spacing w:after="0" w:line="240" w:lineRule="auto"/>
        <w:jc w:val="both"/>
      </w:pPr>
      <w:r>
        <w:t>LOMBARDI Filippo, Elveția, EPP/CD</w:t>
      </w:r>
    </w:p>
    <w:p w14:paraId="2E478C47" w14:textId="5DDB8893" w:rsidR="009738DE" w:rsidRDefault="009738DE" w:rsidP="009738DE">
      <w:pPr>
        <w:spacing w:after="0" w:line="240" w:lineRule="auto"/>
        <w:jc w:val="both"/>
      </w:pPr>
      <w:r>
        <w:t xml:space="preserve">LOPUSHANSKYI </w:t>
      </w:r>
      <w:proofErr w:type="spellStart"/>
      <w:r>
        <w:t>Andrii</w:t>
      </w:r>
      <w:proofErr w:type="spellEnd"/>
      <w:r>
        <w:t>, Ucraina, ALDE</w:t>
      </w:r>
    </w:p>
    <w:p w14:paraId="09DD57B0" w14:textId="2431BF4A" w:rsidR="009738DE" w:rsidRDefault="009738DE" w:rsidP="009738DE">
      <w:pPr>
        <w:spacing w:after="0" w:line="240" w:lineRule="auto"/>
        <w:jc w:val="both"/>
      </w:pPr>
      <w:r>
        <w:t xml:space="preserve">MUNYAMA </w:t>
      </w:r>
      <w:proofErr w:type="spellStart"/>
      <w:r>
        <w:t>Killion</w:t>
      </w:r>
      <w:proofErr w:type="spellEnd"/>
      <w:r>
        <w:t>, Polonia, EPP/CD</w:t>
      </w:r>
    </w:p>
    <w:p w14:paraId="0B79B0E4" w14:textId="20AEA5E5" w:rsidR="009738DE" w:rsidRDefault="009738DE" w:rsidP="009738DE">
      <w:pPr>
        <w:spacing w:after="0" w:line="240" w:lineRule="auto"/>
        <w:jc w:val="both"/>
      </w:pPr>
      <w:r>
        <w:t xml:space="preserve">ROCA </w:t>
      </w:r>
      <w:proofErr w:type="spellStart"/>
      <w:r>
        <w:t>Jordi</w:t>
      </w:r>
      <w:proofErr w:type="spellEnd"/>
      <w:r>
        <w:t>, Spania, EPP/CD</w:t>
      </w:r>
    </w:p>
    <w:p w14:paraId="5683C5E9" w14:textId="77777777" w:rsidR="009738DE" w:rsidRDefault="009738DE" w:rsidP="009738DE">
      <w:pPr>
        <w:spacing w:after="0" w:line="240" w:lineRule="auto"/>
        <w:jc w:val="both"/>
      </w:pPr>
      <w:r>
        <w:t>SCHENNACH Stefan, Austria, SOC</w:t>
      </w:r>
    </w:p>
    <w:p w14:paraId="184C667F" w14:textId="5748CE7A" w:rsidR="009738DE" w:rsidRDefault="009738DE" w:rsidP="009738DE">
      <w:pPr>
        <w:spacing w:after="0" w:line="240" w:lineRule="auto"/>
        <w:jc w:val="both"/>
      </w:pPr>
      <w:r>
        <w:t>SCHWABE Frank, Germania, SOC</w:t>
      </w:r>
    </w:p>
    <w:p w14:paraId="4604CA5D" w14:textId="0D7D5C47" w:rsidR="009738DE" w:rsidRDefault="009738DE" w:rsidP="009738DE">
      <w:pPr>
        <w:spacing w:after="0" w:line="240" w:lineRule="auto"/>
        <w:jc w:val="both"/>
      </w:pPr>
      <w:r>
        <w:t xml:space="preserve">SOBOLEV </w:t>
      </w:r>
      <w:proofErr w:type="spellStart"/>
      <w:r>
        <w:t>Serhiy</w:t>
      </w:r>
      <w:proofErr w:type="spellEnd"/>
      <w:r>
        <w:t>, Ucraina, EPP/CD</w:t>
      </w:r>
    </w:p>
    <w:p w14:paraId="40D41C6A" w14:textId="33FCE6E9" w:rsidR="009738DE" w:rsidRDefault="009738DE" w:rsidP="009738DE">
      <w:pPr>
        <w:spacing w:after="0" w:line="240" w:lineRule="auto"/>
        <w:jc w:val="both"/>
      </w:pPr>
      <w:r>
        <w:t xml:space="preserve">SOTNYK </w:t>
      </w:r>
      <w:proofErr w:type="spellStart"/>
      <w:r>
        <w:t>Olena</w:t>
      </w:r>
      <w:proofErr w:type="spellEnd"/>
      <w:r>
        <w:t>, Ucraina, ALDE</w:t>
      </w:r>
    </w:p>
    <w:p w14:paraId="2452E50D" w14:textId="19D68A92" w:rsidR="009738DE" w:rsidRDefault="009738DE" w:rsidP="009738DE">
      <w:pPr>
        <w:spacing w:after="0" w:line="240" w:lineRule="auto"/>
        <w:jc w:val="both"/>
      </w:pPr>
      <w:r>
        <w:t xml:space="preserve">UNHURIAN </w:t>
      </w:r>
      <w:proofErr w:type="spellStart"/>
      <w:r>
        <w:t>Pavlo</w:t>
      </w:r>
      <w:proofErr w:type="spellEnd"/>
      <w:r>
        <w:t>, Ucraina, EPP/CD</w:t>
      </w:r>
    </w:p>
    <w:p w14:paraId="1B29F5B2" w14:textId="568EC473" w:rsidR="009738DE" w:rsidRDefault="009738DE" w:rsidP="009738DE">
      <w:pPr>
        <w:spacing w:after="0" w:line="240" w:lineRule="auto"/>
        <w:jc w:val="both"/>
      </w:pPr>
      <w:r>
        <w:t xml:space="preserve">VAREIKIS </w:t>
      </w:r>
      <w:proofErr w:type="spellStart"/>
      <w:r>
        <w:t>Egidijus</w:t>
      </w:r>
      <w:proofErr w:type="spellEnd"/>
      <w:r>
        <w:t>, Lituania, EPP/CD</w:t>
      </w:r>
    </w:p>
    <w:p w14:paraId="33C37C91" w14:textId="08463E2E" w:rsidR="009738DE" w:rsidRDefault="009738DE" w:rsidP="009738DE">
      <w:pPr>
        <w:spacing w:after="0" w:line="240" w:lineRule="auto"/>
        <w:jc w:val="both"/>
      </w:pPr>
      <w:r>
        <w:t>VOVK Viktor, Ucraina, EC</w:t>
      </w:r>
    </w:p>
    <w:p w14:paraId="6D8E846A" w14:textId="49050BAA" w:rsidR="009738DE" w:rsidRDefault="009738DE" w:rsidP="009738DE">
      <w:pPr>
        <w:spacing w:after="0" w:line="240" w:lineRule="auto"/>
        <w:jc w:val="both"/>
      </w:pPr>
      <w:r>
        <w:t>WOJTYŁA Andrzej, Polonia, EC</w:t>
      </w:r>
    </w:p>
    <w:p w14:paraId="0F7ACA20" w14:textId="4CAB17A1" w:rsidR="009738DE" w:rsidRDefault="009738DE" w:rsidP="009738DE">
      <w:pPr>
        <w:spacing w:after="0" w:line="240" w:lineRule="auto"/>
        <w:jc w:val="both"/>
      </w:pPr>
      <w:r>
        <w:t xml:space="preserve">YAŞAR </w:t>
      </w:r>
      <w:proofErr w:type="spellStart"/>
      <w:r>
        <w:t>Serap</w:t>
      </w:r>
      <w:proofErr w:type="spellEnd"/>
      <w:r>
        <w:t>, Turcia, EC</w:t>
      </w:r>
    </w:p>
    <w:p w14:paraId="74A8EB96" w14:textId="7B76B87D" w:rsidR="009738DE" w:rsidRDefault="009738DE" w:rsidP="009738DE">
      <w:pPr>
        <w:spacing w:after="0" w:line="240" w:lineRule="auto"/>
        <w:jc w:val="both"/>
      </w:pPr>
      <w:r>
        <w:t>YEMETS Leonid, Ucraina, EPP/CD</w:t>
      </w:r>
    </w:p>
    <w:p w14:paraId="6E4EBBE8" w14:textId="14907B7D" w:rsidR="009738DE" w:rsidRPr="008954E3" w:rsidRDefault="009738DE" w:rsidP="009738DE">
      <w:pPr>
        <w:spacing w:after="0" w:line="240" w:lineRule="auto"/>
        <w:jc w:val="both"/>
      </w:pPr>
      <w:r>
        <w:t xml:space="preserve">ZINGERIS </w:t>
      </w:r>
      <w:proofErr w:type="spellStart"/>
      <w:r>
        <w:t>Emanuelis</w:t>
      </w:r>
      <w:proofErr w:type="spellEnd"/>
      <w:r>
        <w:t>, Lituania, EPP/CD</w:t>
      </w:r>
    </w:p>
    <w:sectPr w:rsidR="009738DE" w:rsidRPr="008954E3" w:rsidSect="008954E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59B8A" w14:textId="77777777" w:rsidR="009738DE" w:rsidRDefault="009738DE" w:rsidP="009738DE">
      <w:pPr>
        <w:spacing w:after="0" w:line="240" w:lineRule="auto"/>
      </w:pPr>
      <w:r>
        <w:separator/>
      </w:r>
    </w:p>
  </w:endnote>
  <w:endnote w:type="continuationSeparator" w:id="0">
    <w:p w14:paraId="1012A09B" w14:textId="77777777" w:rsidR="009738DE" w:rsidRDefault="009738DE" w:rsidP="0097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DBB7A" w14:textId="77777777" w:rsidR="009738DE" w:rsidRDefault="009738DE" w:rsidP="009738DE">
      <w:pPr>
        <w:spacing w:after="0" w:line="240" w:lineRule="auto"/>
      </w:pPr>
      <w:r>
        <w:separator/>
      </w:r>
    </w:p>
  </w:footnote>
  <w:footnote w:type="continuationSeparator" w:id="0">
    <w:p w14:paraId="22ABC1EB" w14:textId="77777777" w:rsidR="009738DE" w:rsidRDefault="009738DE" w:rsidP="009738DE">
      <w:pPr>
        <w:spacing w:after="0" w:line="240" w:lineRule="auto"/>
      </w:pPr>
      <w:r>
        <w:continuationSeparator/>
      </w:r>
    </w:p>
  </w:footnote>
  <w:footnote w:id="1">
    <w:p w14:paraId="38F8DE49" w14:textId="3E1789E1" w:rsidR="009738DE" w:rsidRDefault="009738DE">
      <w:pPr>
        <w:pStyle w:val="FootnoteText"/>
      </w:pPr>
      <w:r>
        <w:rPr>
          <w:rStyle w:val="FootnoteReference"/>
        </w:rPr>
        <w:footnoteRef/>
      </w:r>
      <w:r>
        <w:t xml:space="preserve"> ALDE – Alianța Liberalilor și Democraților pentru Europa</w:t>
      </w:r>
    </w:p>
    <w:p w14:paraId="28113F0D" w14:textId="167407EF" w:rsidR="009738DE" w:rsidRDefault="009738DE">
      <w:pPr>
        <w:pStyle w:val="FootnoteText"/>
      </w:pPr>
      <w:r>
        <w:t>EC – Grupul Conservatorilor Europeni</w:t>
      </w:r>
    </w:p>
    <w:p w14:paraId="7C610FF9" w14:textId="5E174234" w:rsidR="009738DE" w:rsidRDefault="009738DE">
      <w:pPr>
        <w:pStyle w:val="FootnoteText"/>
      </w:pPr>
      <w:r>
        <w:t>EPP/CD – Grupul Partidului Popular European</w:t>
      </w:r>
    </w:p>
    <w:p w14:paraId="3D53A639" w14:textId="2667CA0B" w:rsidR="009738DE" w:rsidRDefault="009738DE">
      <w:pPr>
        <w:pStyle w:val="FootnoteText"/>
      </w:pPr>
      <w:r>
        <w:t>SOC – Grupul Socialist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7B026B"/>
    <w:multiLevelType w:val="hybridMultilevel"/>
    <w:tmpl w:val="F3EAEE2C"/>
    <w:lvl w:ilvl="0" w:tplc="1FD4824A">
      <w:start w:val="29"/>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E3"/>
    <w:rsid w:val="000151AE"/>
    <w:rsid w:val="000603CB"/>
    <w:rsid w:val="003568D4"/>
    <w:rsid w:val="005E6F1D"/>
    <w:rsid w:val="006F48FC"/>
    <w:rsid w:val="007A3661"/>
    <w:rsid w:val="008954E3"/>
    <w:rsid w:val="009738DE"/>
    <w:rsid w:val="00B77725"/>
    <w:rsid w:val="00E25C31"/>
    <w:rsid w:val="00F92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18220"/>
  <w15:chartTrackingRefBased/>
  <w15:docId w15:val="{23C6A9F1-0D01-4375-AE90-A57A098E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4E3"/>
    <w:pPr>
      <w:ind w:left="720"/>
      <w:contextualSpacing/>
    </w:pPr>
  </w:style>
  <w:style w:type="paragraph" w:styleId="FootnoteText">
    <w:name w:val="footnote text"/>
    <w:basedOn w:val="Normal"/>
    <w:link w:val="FootnoteTextChar"/>
    <w:uiPriority w:val="99"/>
    <w:semiHidden/>
    <w:unhideWhenUsed/>
    <w:rsid w:val="00973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8DE"/>
    <w:rPr>
      <w:sz w:val="20"/>
      <w:szCs w:val="20"/>
    </w:rPr>
  </w:style>
  <w:style w:type="character" w:styleId="FootnoteReference">
    <w:name w:val="footnote reference"/>
    <w:basedOn w:val="DefaultParagraphFont"/>
    <w:uiPriority w:val="99"/>
    <w:semiHidden/>
    <w:unhideWhenUsed/>
    <w:rsid w:val="00973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C58EC-5741-4230-819E-B24D1E0B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2723</Characters>
  <Application>Microsoft Office Word</Application>
  <DocSecurity>0</DocSecurity>
  <Lines>71</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MORECUT</dc:creator>
  <cp:keywords/>
  <dc:description/>
  <cp:lastModifiedBy>Veronica MORECUT</cp:lastModifiedBy>
  <cp:revision>2</cp:revision>
  <dcterms:created xsi:type="dcterms:W3CDTF">2021-01-12T07:52:00Z</dcterms:created>
  <dcterms:modified xsi:type="dcterms:W3CDTF">2021-01-13T20:08:00Z</dcterms:modified>
</cp:coreProperties>
</file>