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F9A5B" w14:textId="77777777" w:rsidR="002D141B" w:rsidRPr="008954E3" w:rsidRDefault="002D141B" w:rsidP="002D141B">
      <w:pPr>
        <w:spacing w:after="80" w:line="240" w:lineRule="auto"/>
        <w:rPr>
          <w:b/>
          <w:bCs/>
        </w:rPr>
      </w:pPr>
      <w:r w:rsidRPr="008954E3">
        <w:rPr>
          <w:b/>
          <w:bCs/>
        </w:rPr>
        <w:t>Adunarea Parlamentară</w:t>
      </w:r>
    </w:p>
    <w:p w14:paraId="01415D98" w14:textId="77777777" w:rsidR="002D141B" w:rsidRPr="008954E3" w:rsidRDefault="002D141B" w:rsidP="002D141B">
      <w:pPr>
        <w:spacing w:after="80" w:line="240" w:lineRule="auto"/>
        <w:rPr>
          <w:b/>
          <w:bCs/>
        </w:rPr>
      </w:pPr>
    </w:p>
    <w:p w14:paraId="43B03D1A" w14:textId="56CD6BC7" w:rsidR="002D141B" w:rsidRPr="008954E3" w:rsidRDefault="00FE18D7" w:rsidP="002D141B">
      <w:pPr>
        <w:spacing w:after="80" w:line="240" w:lineRule="auto"/>
        <w:rPr>
          <w:b/>
          <w:bCs/>
        </w:rPr>
      </w:pPr>
      <w:r>
        <w:rPr>
          <w:b/>
          <w:bCs/>
        </w:rPr>
        <w:t>Re</w:t>
      </w:r>
      <w:r w:rsidR="009F0E29">
        <w:rPr>
          <w:b/>
          <w:bCs/>
        </w:rPr>
        <w:t>zoluția 2348 (2020)</w:t>
      </w:r>
      <w:r>
        <w:rPr>
          <w:rStyle w:val="FootnoteReference"/>
          <w:b/>
          <w:bCs/>
        </w:rPr>
        <w:footnoteReference w:id="1"/>
      </w:r>
    </w:p>
    <w:p w14:paraId="30CDC2B8" w14:textId="77777777" w:rsidR="002D141B" w:rsidRPr="008954E3" w:rsidRDefault="002D141B" w:rsidP="002D141B">
      <w:pPr>
        <w:spacing w:after="80" w:line="240" w:lineRule="auto"/>
        <w:rPr>
          <w:b/>
          <w:bCs/>
        </w:rPr>
      </w:pPr>
    </w:p>
    <w:p w14:paraId="60B3D872" w14:textId="77777777" w:rsidR="002D141B" w:rsidRPr="008954E3" w:rsidRDefault="002D141B" w:rsidP="002D141B">
      <w:pPr>
        <w:spacing w:after="80" w:line="240" w:lineRule="auto"/>
        <w:rPr>
          <w:b/>
          <w:bCs/>
          <w:sz w:val="32"/>
          <w:szCs w:val="32"/>
        </w:rPr>
      </w:pPr>
      <w:r w:rsidRPr="008954E3">
        <w:rPr>
          <w:b/>
          <w:bCs/>
          <w:sz w:val="32"/>
          <w:szCs w:val="32"/>
        </w:rPr>
        <w:t xml:space="preserve">Principiile și garanțiile </w:t>
      </w:r>
      <w:r>
        <w:rPr>
          <w:b/>
          <w:bCs/>
          <w:sz w:val="32"/>
          <w:szCs w:val="32"/>
        </w:rPr>
        <w:t>profesiei de avocat</w:t>
      </w:r>
    </w:p>
    <w:p w14:paraId="6E8371D1" w14:textId="77777777" w:rsidR="002D141B" w:rsidRPr="008954E3" w:rsidRDefault="002D141B" w:rsidP="002D141B">
      <w:pPr>
        <w:spacing w:after="80" w:line="240" w:lineRule="auto"/>
        <w:rPr>
          <w:b/>
          <w:bCs/>
        </w:rPr>
      </w:pPr>
    </w:p>
    <w:p w14:paraId="3FA37231" w14:textId="5946DE18" w:rsidR="002D141B" w:rsidRPr="00FE18D7" w:rsidRDefault="00FE18D7" w:rsidP="002D141B">
      <w:pPr>
        <w:spacing w:after="80" w:line="240" w:lineRule="auto"/>
        <w:rPr>
          <w:i/>
          <w:iCs/>
        </w:rPr>
      </w:pPr>
      <w:r w:rsidRPr="00FE18D7">
        <w:t xml:space="preserve">Adunarea </w:t>
      </w:r>
      <w:r>
        <w:t>Parlamentară</w:t>
      </w:r>
    </w:p>
    <w:p w14:paraId="7C609ABD" w14:textId="44E1B892" w:rsidR="002D141B" w:rsidRDefault="002D141B" w:rsidP="002D141B">
      <w:pPr>
        <w:spacing w:after="80" w:line="240" w:lineRule="auto"/>
        <w:jc w:val="both"/>
      </w:pPr>
    </w:p>
    <w:p w14:paraId="20E10EC2" w14:textId="77777777" w:rsidR="009F0E29" w:rsidRDefault="009F0E29" w:rsidP="009F0E29">
      <w:pPr>
        <w:spacing w:after="80" w:line="240" w:lineRule="auto"/>
        <w:ind w:firstLine="426"/>
        <w:jc w:val="both"/>
      </w:pPr>
      <w:r w:rsidRPr="00B522F8">
        <w:t>1. Adunarea parlamentară reamintește Recomandarea sa 2121 (2018) privind „</w:t>
      </w:r>
      <w:bookmarkStart w:id="0" w:name="_Hlk61435341"/>
      <w:r>
        <w:t xml:space="preserve">Posibilitatea </w:t>
      </w:r>
      <w:r w:rsidRPr="00B522F8">
        <w:t>elabor</w:t>
      </w:r>
      <w:r>
        <w:t>ării</w:t>
      </w:r>
      <w:r w:rsidRPr="00B522F8">
        <w:t xml:space="preserve"> unei convenții europene privind profesia de avocat</w:t>
      </w:r>
      <w:bookmarkEnd w:id="0"/>
      <w:r w:rsidRPr="00B522F8">
        <w:t xml:space="preserve">”, în care a subliniat contribuția vitală a avocaților la administrarea eficientă a justiției. Avocații joacă un rol central în protejarea drepturilor omului, în special </w:t>
      </w:r>
      <w:r>
        <w:t xml:space="preserve">al </w:t>
      </w:r>
      <w:r w:rsidRPr="00B522F8">
        <w:t>dreptul</w:t>
      </w:r>
      <w:r>
        <w:t>ui</w:t>
      </w:r>
      <w:r w:rsidRPr="00B522F8">
        <w:t xml:space="preserve"> oamenilor la un proces echitabil și în punerea în aplicare a principiilor statului de drept.</w:t>
      </w:r>
    </w:p>
    <w:p w14:paraId="74FFE098" w14:textId="77777777" w:rsidR="009F0E29" w:rsidRDefault="009F0E29" w:rsidP="009F0E29">
      <w:pPr>
        <w:spacing w:after="80" w:line="240" w:lineRule="auto"/>
        <w:ind w:firstLine="426"/>
        <w:jc w:val="both"/>
      </w:pPr>
      <w:r>
        <w:t xml:space="preserve">2. </w:t>
      </w:r>
      <w:r w:rsidRPr="00816846">
        <w:t xml:space="preserve">Adunarea rămâne îngrijorată de numeroasele cazuri de încălcare a drepturilor avocaților, inclusiv </w:t>
      </w:r>
      <w:r>
        <w:t xml:space="preserve">de </w:t>
      </w:r>
      <w:r w:rsidRPr="00816846">
        <w:t>atacuri</w:t>
      </w:r>
      <w:r>
        <w:t>le</w:t>
      </w:r>
      <w:r w:rsidRPr="00816846">
        <w:t xml:space="preserve"> împotriva siguranței și independenței acestora, în ultimii ani. Avocații continuă să fie vizați pentru implicarea lor în cazuri legate de drepturile omului, cum ar fi apărarea drepturilor refugiaților, solicitanților de azil și migranților, femeilor, membrilor minorităților naționale și lingvistice și </w:t>
      </w:r>
      <w:r>
        <w:t xml:space="preserve">ai comunității </w:t>
      </w:r>
      <w:r w:rsidRPr="00816846">
        <w:t xml:space="preserve">LGBTI. De asemenea, au fost vizați pentru munca lor de denunțare a </w:t>
      </w:r>
      <w:r>
        <w:t xml:space="preserve">lipsei de transparență </w:t>
      </w:r>
      <w:r w:rsidRPr="00816846">
        <w:t>guvernamental</w:t>
      </w:r>
      <w:r>
        <w:t>ă</w:t>
      </w:r>
      <w:r w:rsidRPr="00816846">
        <w:t xml:space="preserve"> sau </w:t>
      </w:r>
      <w:r>
        <w:t xml:space="preserve">a </w:t>
      </w:r>
      <w:r w:rsidRPr="00816846">
        <w:t>corupție</w:t>
      </w:r>
      <w:r>
        <w:t>i</w:t>
      </w:r>
      <w:r w:rsidRPr="00816846">
        <w:t xml:space="preserve"> </w:t>
      </w:r>
      <w:r>
        <w:t xml:space="preserve">ori </w:t>
      </w:r>
      <w:r w:rsidRPr="00816846">
        <w:t>pentru reprezentarea anumitor persoane (cum ar fi suspecți de terorism, politicieni d</w:t>
      </w:r>
      <w:r>
        <w:t>in</w:t>
      </w:r>
      <w:r w:rsidRPr="00816846">
        <w:t xml:space="preserve"> opoziție, activiști ai societății civile și jurnaliști independenți). Avocații au fost, de asemenea, identificați cu clienții lor și, prin extensie, </w:t>
      </w:r>
      <w:r>
        <w:t xml:space="preserve">cu </w:t>
      </w:r>
      <w:r w:rsidRPr="00816846">
        <w:t xml:space="preserve">afilierile politice ale clienților lor sau infracțiunile de care </w:t>
      </w:r>
      <w:r>
        <w:t xml:space="preserve">aceștia </w:t>
      </w:r>
      <w:r w:rsidRPr="00816846">
        <w:t>sunt acuzați.</w:t>
      </w:r>
    </w:p>
    <w:p w14:paraId="1758294C" w14:textId="77777777" w:rsidR="009F0E29" w:rsidRDefault="009F0E29" w:rsidP="009F0E29">
      <w:pPr>
        <w:spacing w:after="80" w:line="240" w:lineRule="auto"/>
        <w:ind w:firstLine="426"/>
        <w:jc w:val="both"/>
      </w:pPr>
      <w:r>
        <w:t xml:space="preserve">3. </w:t>
      </w:r>
      <w:r w:rsidRPr="00C62B6F">
        <w:t xml:space="preserve">Atacurile împotriva siguranței și libertății personale ale avocaților au loc adesea într-un context general </w:t>
      </w:r>
      <w:r>
        <w:t xml:space="preserve">al </w:t>
      </w:r>
      <w:r w:rsidRPr="00C62B6F">
        <w:t>lips</w:t>
      </w:r>
      <w:r>
        <w:t>ei</w:t>
      </w:r>
      <w:r w:rsidRPr="00C62B6F">
        <w:t xml:space="preserve"> de respect pentru statul de drept. Avocații se confrunt</w:t>
      </w:r>
      <w:r>
        <w:t>ă</w:t>
      </w:r>
      <w:r w:rsidRPr="00C62B6F">
        <w:t xml:space="preserve"> cu hărțuir</w:t>
      </w:r>
      <w:r>
        <w:t>i</w:t>
      </w:r>
      <w:r w:rsidRPr="00C62B6F">
        <w:t xml:space="preserve"> administrativ</w:t>
      </w:r>
      <w:r>
        <w:t>e</w:t>
      </w:r>
      <w:r w:rsidRPr="00C62B6F">
        <w:t xml:space="preserve"> și judiciar</w:t>
      </w:r>
      <w:r>
        <w:t>e</w:t>
      </w:r>
      <w:r w:rsidRPr="00C62B6F">
        <w:t>, inclusiv in</w:t>
      </w:r>
      <w:r>
        <w:t>gerin</w:t>
      </w:r>
      <w:r w:rsidRPr="00C62B6F">
        <w:t xml:space="preserve">țe abuzive </w:t>
      </w:r>
      <w:r>
        <w:t xml:space="preserve">asupra </w:t>
      </w:r>
      <w:r w:rsidRPr="00C62B6F">
        <w:t>drepturil</w:t>
      </w:r>
      <w:r>
        <w:t>or</w:t>
      </w:r>
      <w:r w:rsidRPr="00C62B6F">
        <w:t xml:space="preserve"> și privilegiil</w:t>
      </w:r>
      <w:r>
        <w:t>or</w:t>
      </w:r>
      <w:r w:rsidRPr="00C62B6F">
        <w:t xml:space="preserve"> lor profesionale, </w:t>
      </w:r>
      <w:r>
        <w:t xml:space="preserve">cum ar fi violarea </w:t>
      </w:r>
      <w:r w:rsidRPr="00C62B6F">
        <w:t>comunicări</w:t>
      </w:r>
      <w:r>
        <w:t>lor</w:t>
      </w:r>
      <w:r w:rsidRPr="00C62B6F">
        <w:t xml:space="preserve"> privilegiate </w:t>
      </w:r>
      <w:r>
        <w:t xml:space="preserve">dintre </w:t>
      </w:r>
      <w:r w:rsidRPr="00C62B6F">
        <w:t>avocat</w:t>
      </w:r>
      <w:r>
        <w:t xml:space="preserve"> și </w:t>
      </w:r>
      <w:r w:rsidRPr="00C62B6F">
        <w:t>client, percheziții</w:t>
      </w:r>
      <w:r>
        <w:t>le</w:t>
      </w:r>
      <w:r w:rsidRPr="00C62B6F">
        <w:t xml:space="preserve"> </w:t>
      </w:r>
      <w:r>
        <w:t xml:space="preserve">corporale </w:t>
      </w:r>
      <w:r w:rsidRPr="00C62B6F">
        <w:t xml:space="preserve">sau </w:t>
      </w:r>
      <w:r>
        <w:t xml:space="preserve">a </w:t>
      </w:r>
      <w:r w:rsidRPr="00C62B6F">
        <w:t>sediil</w:t>
      </w:r>
      <w:r>
        <w:t>or</w:t>
      </w:r>
      <w:r w:rsidRPr="00C62B6F">
        <w:t xml:space="preserve"> lor profesionale, confiscări </w:t>
      </w:r>
      <w:r>
        <w:t xml:space="preserve">ale </w:t>
      </w:r>
      <w:r w:rsidRPr="00C62B6F">
        <w:t>documente</w:t>
      </w:r>
      <w:r>
        <w:t>lor</w:t>
      </w:r>
      <w:r w:rsidRPr="00C62B6F">
        <w:t xml:space="preserve"> legate de caz, supraveghere ilegală audio și video, </w:t>
      </w:r>
      <w:r>
        <w:t>ne</w:t>
      </w:r>
      <w:r w:rsidRPr="00C62B6F">
        <w:t xml:space="preserve">comunicarea informațiilor esențiale legate de caz, </w:t>
      </w:r>
      <w:r>
        <w:t xml:space="preserve">trecerea pe </w:t>
      </w:r>
      <w:r w:rsidRPr="00C62B6F">
        <w:t>list</w:t>
      </w:r>
      <w:r>
        <w:t xml:space="preserve">e cu persoane care au diverse interdicții, inclusiv de </w:t>
      </w:r>
      <w:r w:rsidRPr="00C62B6F">
        <w:t xml:space="preserve">călătorie. Avocații au fost chiar chemați ca martori în dosare împotriva clienților lor. Avocații au experimentat numeroase restricții în timpul desfășurării activităților lor profesionale, inclusiv </w:t>
      </w:r>
      <w:r>
        <w:t xml:space="preserve">refuzul </w:t>
      </w:r>
      <w:r w:rsidRPr="00C62B6F">
        <w:t>admiter</w:t>
      </w:r>
      <w:r>
        <w:t>ii</w:t>
      </w:r>
      <w:r w:rsidRPr="00C62B6F">
        <w:t xml:space="preserve"> la centrul de detenție preventivă sau la locul de detenție în care este deținut clientul lor, </w:t>
      </w:r>
      <w:r>
        <w:t xml:space="preserve">fiind </w:t>
      </w:r>
      <w:r w:rsidRPr="00C62B6F">
        <w:t>submin</w:t>
      </w:r>
      <w:r>
        <w:t xml:space="preserve">ată prin aceasta </w:t>
      </w:r>
      <w:r w:rsidRPr="00C62B6F">
        <w:t xml:space="preserve">confidențialitatea </w:t>
      </w:r>
      <w:r>
        <w:t>secretului profesionale</w:t>
      </w:r>
      <w:r w:rsidRPr="00C62B6F">
        <w:t xml:space="preserve"> și neinformarea unui avocat cu privire la </w:t>
      </w:r>
      <w:r>
        <w:t xml:space="preserve">locul unde se află </w:t>
      </w:r>
      <w:r w:rsidRPr="00C62B6F">
        <w:t>clientul</w:t>
      </w:r>
      <w:r>
        <w:t xml:space="preserve"> acestuia</w:t>
      </w:r>
      <w:r w:rsidRPr="00C62B6F">
        <w:t>. De asemenea, autoritățile au intervenit în activitatea asociațiilor de avocați independente.</w:t>
      </w:r>
    </w:p>
    <w:p w14:paraId="2C3508AD" w14:textId="4CCC93D6" w:rsidR="009F0E29" w:rsidRDefault="009F0E29" w:rsidP="009F0E29">
      <w:pPr>
        <w:spacing w:after="80" w:line="240" w:lineRule="auto"/>
        <w:ind w:firstLine="426"/>
        <w:jc w:val="both"/>
      </w:pPr>
      <w:r>
        <w:t xml:space="preserve">4. </w:t>
      </w:r>
      <w:r w:rsidRPr="00E87E94">
        <w:t>Adunarea reamintește că statele membre ale Consiliului Europei au aderat la standardele minim</w:t>
      </w:r>
      <w:r>
        <w:t>ale</w:t>
      </w:r>
      <w:r w:rsidRPr="00E87E94">
        <w:t xml:space="preserve"> stabilite în prezent în </w:t>
      </w:r>
      <w:hyperlink r:id="rId8" w:history="1">
        <w:r w:rsidRPr="009F0E29">
          <w:rPr>
            <w:rStyle w:val="Hyperlink"/>
          </w:rPr>
          <w:t>Recomandarea nr. R (2000) 21</w:t>
        </w:r>
      </w:hyperlink>
      <w:r w:rsidRPr="00E87E94">
        <w:t xml:space="preserve"> a Comitetului </w:t>
      </w:r>
      <w:r>
        <w:t xml:space="preserve">de </w:t>
      </w:r>
      <w:r w:rsidRPr="00E87E94">
        <w:t xml:space="preserve">Miniștri privind libertatea de exercitare a profesiei de avocat. </w:t>
      </w:r>
      <w:r>
        <w:t xml:space="preserve">Consiliul Europei </w:t>
      </w:r>
      <w:r w:rsidRPr="00E87E94">
        <w:t xml:space="preserve">continuă să încurajeze punerea în aplicare efectivă și completă a acestor dispoziții, în așteptarea </w:t>
      </w:r>
      <w:r>
        <w:t>transformării</w:t>
      </w:r>
      <w:r w:rsidRPr="00E87E94">
        <w:t xml:space="preserve"> lor într-un instrument internațional obligatoriu din punct de vedere juridic.</w:t>
      </w:r>
    </w:p>
    <w:p w14:paraId="099A93F1" w14:textId="77777777" w:rsidR="009F0E29" w:rsidRDefault="009F0E29" w:rsidP="009F0E29">
      <w:pPr>
        <w:spacing w:after="80" w:line="240" w:lineRule="auto"/>
        <w:ind w:firstLine="426"/>
        <w:jc w:val="both"/>
      </w:pPr>
      <w:r>
        <w:t xml:space="preserve">5. </w:t>
      </w:r>
      <w:r w:rsidRPr="00E87E94">
        <w:t xml:space="preserve">Adunarea reamintește importanța rolurilor </w:t>
      </w:r>
      <w:r>
        <w:t>R</w:t>
      </w:r>
      <w:r w:rsidRPr="00E87E94">
        <w:t xml:space="preserve">aportorului </w:t>
      </w:r>
      <w:r>
        <w:t>G</w:t>
      </w:r>
      <w:r w:rsidRPr="00E87E94">
        <w:t xml:space="preserve">eneral al Adunării cu privire la situația </w:t>
      </w:r>
      <w:r>
        <w:t xml:space="preserve">apărării </w:t>
      </w:r>
      <w:r w:rsidRPr="00E87E94">
        <w:t xml:space="preserve">drepturilor omului, precum și a </w:t>
      </w:r>
      <w:r>
        <w:t>C</w:t>
      </w:r>
      <w:r w:rsidRPr="00E87E94">
        <w:t xml:space="preserve">omisarului pentru drepturile omului, care se pot angaja în dialog cu privire la problemele </w:t>
      </w:r>
      <w:r>
        <w:t xml:space="preserve">ce îi privesc pe </w:t>
      </w:r>
      <w:r w:rsidRPr="00E87E94">
        <w:t>avocați. În plus, Adunarea continuă să încurajeze punerea în aplicare îmbunătățită a standardelor prin activități de cooperare și instruire oferite de Consiliul Europei.</w:t>
      </w:r>
    </w:p>
    <w:p w14:paraId="0A2A35C8" w14:textId="77777777" w:rsidR="009F0E29" w:rsidRDefault="009F0E29" w:rsidP="009F0E29">
      <w:pPr>
        <w:spacing w:after="80" w:line="240" w:lineRule="auto"/>
        <w:ind w:firstLine="426"/>
        <w:jc w:val="both"/>
      </w:pPr>
      <w:r>
        <w:t xml:space="preserve">6. </w:t>
      </w:r>
      <w:r w:rsidRPr="00B1679B">
        <w:t xml:space="preserve">Adunarea îndeamnă toate statele membre ale Consiliului Europei să asigure protecția </w:t>
      </w:r>
      <w:r>
        <w:t xml:space="preserve">efectivă </w:t>
      </w:r>
      <w:r w:rsidRPr="00B1679B">
        <w:t>a profesiei de avocat, inclusiv prin:</w:t>
      </w:r>
    </w:p>
    <w:p w14:paraId="105DFA19" w14:textId="77777777" w:rsidR="009F0E29" w:rsidRDefault="009F0E29" w:rsidP="009F0E29">
      <w:pPr>
        <w:spacing w:after="80" w:line="240" w:lineRule="auto"/>
        <w:ind w:firstLine="426"/>
        <w:jc w:val="both"/>
      </w:pPr>
      <w:r>
        <w:tab/>
        <w:t xml:space="preserve">6.1. </w:t>
      </w:r>
      <w:r w:rsidRPr="00B1679B">
        <w:t xml:space="preserve">interzicerea </w:t>
      </w:r>
      <w:r>
        <w:t>ingerinței</w:t>
      </w:r>
      <w:r w:rsidRPr="00B1679B">
        <w:t xml:space="preserve"> statului în profesia de avocat și identificarea clară a activităților specifice care reprezintă </w:t>
      </w:r>
      <w:r>
        <w:t xml:space="preserve">ingerință </w:t>
      </w:r>
      <w:r w:rsidRPr="00B1679B">
        <w:t>interzisă;</w:t>
      </w:r>
    </w:p>
    <w:p w14:paraId="00504CA7" w14:textId="77777777" w:rsidR="009F0E29" w:rsidRDefault="009F0E29" w:rsidP="009F0E29">
      <w:pPr>
        <w:spacing w:after="80" w:line="240" w:lineRule="auto"/>
        <w:ind w:firstLine="426"/>
        <w:jc w:val="both"/>
      </w:pPr>
      <w:r>
        <w:tab/>
        <w:t xml:space="preserve">6.2. </w:t>
      </w:r>
      <w:r w:rsidRPr="00B1679B">
        <w:t xml:space="preserve">stabilirea unui cadru legislativ intern care să garanteze eficiența, independența și siguranța </w:t>
      </w:r>
      <w:r>
        <w:t xml:space="preserve">activității </w:t>
      </w:r>
      <w:r w:rsidRPr="00B1679B">
        <w:t>avocaților, în special prin:</w:t>
      </w:r>
    </w:p>
    <w:p w14:paraId="239965A8" w14:textId="77777777" w:rsidR="009F0E29" w:rsidRDefault="009F0E29" w:rsidP="009F0E29">
      <w:pPr>
        <w:spacing w:after="80" w:line="240" w:lineRule="auto"/>
        <w:ind w:left="1560"/>
        <w:jc w:val="both"/>
      </w:pPr>
      <w:r>
        <w:t xml:space="preserve">6.2.1.  </w:t>
      </w:r>
      <w:r w:rsidRPr="00B1679B">
        <w:t xml:space="preserve">asigurarea faptului că legislațiile naționale și practicile de aplicare a legii îmbunătățesc condițiile și garanțiile activității avocaților în deplină conformitate cu standardele existente stabilite în Principiile de bază ale ONU privind rolul avocaților (1990), </w:t>
      </w:r>
      <w:hyperlink r:id="rId9" w:history="1">
        <w:r w:rsidRPr="00B1679B">
          <w:rPr>
            <w:rStyle w:val="Hyperlink"/>
          </w:rPr>
          <w:t xml:space="preserve">Recomandarea nr. R (2000) 21 a </w:t>
        </w:r>
        <w:r w:rsidRPr="00B1679B">
          <w:rPr>
            <w:rStyle w:val="Hyperlink"/>
          </w:rPr>
          <w:lastRenderedPageBreak/>
          <w:t>Comitetului de Miniștri</w:t>
        </w:r>
      </w:hyperlink>
      <w:r w:rsidRPr="00B1679B">
        <w:t xml:space="preserve"> și </w:t>
      </w:r>
      <w:hyperlink r:id="rId10" w:history="1">
        <w:r w:rsidRPr="00B1679B">
          <w:rPr>
            <w:rStyle w:val="Hyperlink"/>
          </w:rPr>
          <w:t>Rezoluția Adunării 2154 (2017) „Asigurarea accesului deținuților la avocați”</w:t>
        </w:r>
      </w:hyperlink>
      <w:r w:rsidRPr="00B1679B">
        <w:t>;</w:t>
      </w:r>
    </w:p>
    <w:p w14:paraId="4EDDA058" w14:textId="77777777" w:rsidR="009F0E29" w:rsidRDefault="009F0E29" w:rsidP="009F0E29">
      <w:pPr>
        <w:spacing w:after="80" w:line="240" w:lineRule="auto"/>
        <w:ind w:left="1560"/>
        <w:jc w:val="both"/>
      </w:pPr>
      <w:r>
        <w:t xml:space="preserve">6.2.2. </w:t>
      </w:r>
      <w:r w:rsidRPr="00B1679B">
        <w:t xml:space="preserve">asigurarea unor garanții naționale adecvate împotriva abuzurilor și a </w:t>
      </w:r>
      <w:r>
        <w:t xml:space="preserve">ingerințelor </w:t>
      </w:r>
      <w:r w:rsidRPr="00B1679B">
        <w:t xml:space="preserve">ilegale </w:t>
      </w:r>
      <w:r>
        <w:t xml:space="preserve">asupra </w:t>
      </w:r>
      <w:r w:rsidRPr="00B1679B">
        <w:t>activitățil</w:t>
      </w:r>
      <w:r>
        <w:t>or</w:t>
      </w:r>
      <w:r w:rsidRPr="00B1679B">
        <w:t xml:space="preserve"> profesionale ale avocaților </w:t>
      </w:r>
      <w:r>
        <w:t xml:space="preserve">inclusiv </w:t>
      </w:r>
      <w:r w:rsidRPr="00B1679B">
        <w:t>în contexte care pot justifica unele restricții mai mari ale drepturilor avocaților, precum lupta împotriva terorismului, criminalității organizate sau spălării banilor;</w:t>
      </w:r>
      <w:r>
        <w:t xml:space="preserve"> </w:t>
      </w:r>
    </w:p>
    <w:p w14:paraId="275D2EAE" w14:textId="77777777" w:rsidR="009F0E29" w:rsidRDefault="009F0E29" w:rsidP="009F0E29">
      <w:pPr>
        <w:spacing w:after="80" w:line="240" w:lineRule="auto"/>
        <w:ind w:left="1560"/>
        <w:jc w:val="both"/>
      </w:pPr>
      <w:r>
        <w:t xml:space="preserve">6.2.3. </w:t>
      </w:r>
      <w:r w:rsidRPr="00A10EB6">
        <w:t xml:space="preserve">investigarea și </w:t>
      </w:r>
      <w:r>
        <w:t xml:space="preserve">tragerea la </w:t>
      </w:r>
      <w:r w:rsidRPr="00A10EB6">
        <w:t>r</w:t>
      </w:r>
      <w:r>
        <w:t xml:space="preserve">ăspundere a </w:t>
      </w:r>
      <w:r w:rsidRPr="00A10EB6">
        <w:t>făptașilor în toate cazurile de intimidare ilegală, hărțuire sau atacuri fizice și urmărirea penală a oricăror infracțiuni comise împotriva avocaților, indiferent de sursa amenințării</w:t>
      </w:r>
      <w:r>
        <w:t>.</w:t>
      </w:r>
    </w:p>
    <w:p w14:paraId="3CD49377" w14:textId="77777777" w:rsidR="009F0E29" w:rsidRDefault="009F0E29" w:rsidP="009F0E29">
      <w:pPr>
        <w:spacing w:after="80" w:line="240" w:lineRule="auto"/>
        <w:ind w:firstLine="426"/>
        <w:jc w:val="both"/>
      </w:pPr>
    </w:p>
    <w:p w14:paraId="22729594" w14:textId="77777777" w:rsidR="009F0E29" w:rsidRDefault="009F0E29" w:rsidP="002D141B">
      <w:pPr>
        <w:spacing w:after="80" w:line="240" w:lineRule="auto"/>
        <w:jc w:val="both"/>
      </w:pPr>
    </w:p>
    <w:sectPr w:rsidR="009F0E29" w:rsidSect="00FC6B5F">
      <w:pgSz w:w="11906" w:h="16838"/>
      <w:pgMar w:top="567" w:right="707" w:bottom="810" w:left="851" w:header="270"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60EE0" w14:textId="77777777" w:rsidR="002D141B" w:rsidRDefault="002D141B" w:rsidP="002D141B">
      <w:pPr>
        <w:spacing w:after="0" w:line="240" w:lineRule="auto"/>
      </w:pPr>
      <w:r>
        <w:separator/>
      </w:r>
    </w:p>
  </w:endnote>
  <w:endnote w:type="continuationSeparator" w:id="0">
    <w:p w14:paraId="2766C409" w14:textId="77777777" w:rsidR="002D141B" w:rsidRDefault="002D141B" w:rsidP="002D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9D7A7" w14:textId="77777777" w:rsidR="002D141B" w:rsidRDefault="002D141B" w:rsidP="002D141B">
      <w:pPr>
        <w:spacing w:after="0" w:line="240" w:lineRule="auto"/>
      </w:pPr>
      <w:r>
        <w:separator/>
      </w:r>
    </w:p>
  </w:footnote>
  <w:footnote w:type="continuationSeparator" w:id="0">
    <w:p w14:paraId="160F813C" w14:textId="77777777" w:rsidR="002D141B" w:rsidRDefault="002D141B" w:rsidP="002D141B">
      <w:pPr>
        <w:spacing w:after="0" w:line="240" w:lineRule="auto"/>
      </w:pPr>
      <w:r>
        <w:continuationSeparator/>
      </w:r>
    </w:p>
  </w:footnote>
  <w:footnote w:id="1">
    <w:p w14:paraId="7E620545" w14:textId="4546A109" w:rsidR="00FE18D7" w:rsidRPr="00FE18D7" w:rsidRDefault="00FE18D7">
      <w:pPr>
        <w:pStyle w:val="FootnoteText"/>
        <w:rPr>
          <w:sz w:val="18"/>
          <w:szCs w:val="18"/>
        </w:rPr>
      </w:pPr>
      <w:r w:rsidRPr="00FE18D7">
        <w:rPr>
          <w:rStyle w:val="FootnoteReference"/>
          <w:sz w:val="18"/>
          <w:szCs w:val="18"/>
        </w:rPr>
        <w:footnoteRef/>
      </w:r>
      <w:r w:rsidRPr="00FE18D7">
        <w:rPr>
          <w:sz w:val="18"/>
          <w:szCs w:val="18"/>
        </w:rPr>
        <w:t xml:space="preserve"> Text adoptat de Comitetul Permanent, în numele Adunării, la 23 octombrie 2020 (a se vedea Doc. 15152, raport al Comitetului pentru Afaceri Juridice și Drepturile Omului, raportor dl. </w:t>
      </w:r>
      <w:r w:rsidRPr="00FE18D7">
        <w:rPr>
          <w:sz w:val="18"/>
          <w:szCs w:val="18"/>
        </w:rPr>
        <w:t xml:space="preserve">Aleksandr </w:t>
      </w:r>
      <w:proofErr w:type="spellStart"/>
      <w:r w:rsidRPr="00FE18D7">
        <w:rPr>
          <w:sz w:val="18"/>
          <w:szCs w:val="18"/>
        </w:rPr>
        <w:t>Bashkin</w:t>
      </w:r>
      <w:proofErr w:type="spellEnd"/>
      <w:r w:rsidRPr="00FE18D7">
        <w:rPr>
          <w:sz w:val="18"/>
          <w:szCs w:val="18"/>
        </w:rPr>
        <w:t>)</w:t>
      </w:r>
      <w:r w:rsidR="009F0E29">
        <w:rPr>
          <w:sz w:val="18"/>
          <w:szCs w:val="18"/>
        </w:rPr>
        <w:t xml:space="preserve"> A se vedea si Recomandarea </w:t>
      </w:r>
      <w:hyperlink r:id="rId1" w:history="1">
        <w:r w:rsidR="009F0E29" w:rsidRPr="009F0E29">
          <w:rPr>
            <w:rStyle w:val="Hyperlink"/>
            <w:sz w:val="18"/>
            <w:szCs w:val="18"/>
          </w:rPr>
          <w:t>2188 (2020)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01C21"/>
    <w:multiLevelType w:val="hybridMultilevel"/>
    <w:tmpl w:val="A5A05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1B"/>
    <w:rsid w:val="0009454F"/>
    <w:rsid w:val="002D141B"/>
    <w:rsid w:val="004E0D06"/>
    <w:rsid w:val="008D0D77"/>
    <w:rsid w:val="009F0E29"/>
    <w:rsid w:val="00EA5D5E"/>
    <w:rsid w:val="00FE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9264"/>
  <w15:chartTrackingRefBased/>
  <w15:docId w15:val="{D1E0405B-94D2-4A1F-AE40-F93BDBB8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41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141B"/>
    <w:pPr>
      <w:spacing w:after="0" w:line="240" w:lineRule="auto"/>
    </w:pPr>
    <w:rPr>
      <w:sz w:val="20"/>
      <w:szCs w:val="20"/>
    </w:rPr>
  </w:style>
  <w:style w:type="character" w:customStyle="1" w:styleId="FootnoteTextChar">
    <w:name w:val="Footnote Text Char"/>
    <w:basedOn w:val="DefaultParagraphFont"/>
    <w:link w:val="FootnoteText"/>
    <w:uiPriority w:val="99"/>
    <w:rsid w:val="002D141B"/>
    <w:rPr>
      <w:sz w:val="20"/>
      <w:szCs w:val="20"/>
      <w:lang w:val="ro-RO"/>
    </w:rPr>
  </w:style>
  <w:style w:type="character" w:styleId="FootnoteReference">
    <w:name w:val="footnote reference"/>
    <w:basedOn w:val="DefaultParagraphFont"/>
    <w:uiPriority w:val="99"/>
    <w:semiHidden/>
    <w:unhideWhenUsed/>
    <w:rsid w:val="002D141B"/>
    <w:rPr>
      <w:vertAlign w:val="superscript"/>
    </w:rPr>
  </w:style>
  <w:style w:type="character" w:styleId="Hyperlink">
    <w:name w:val="Hyperlink"/>
    <w:basedOn w:val="DefaultParagraphFont"/>
    <w:uiPriority w:val="99"/>
    <w:unhideWhenUsed/>
    <w:rsid w:val="002D141B"/>
    <w:rPr>
      <w:color w:val="0563C1" w:themeColor="hyperlink"/>
      <w:u w:val="single"/>
    </w:rPr>
  </w:style>
  <w:style w:type="paragraph" w:styleId="Header">
    <w:name w:val="header"/>
    <w:basedOn w:val="Normal"/>
    <w:link w:val="HeaderChar"/>
    <w:uiPriority w:val="99"/>
    <w:unhideWhenUsed/>
    <w:rsid w:val="00FE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8D7"/>
    <w:rPr>
      <w:lang w:val="ro-RO"/>
    </w:rPr>
  </w:style>
  <w:style w:type="paragraph" w:styleId="Footer">
    <w:name w:val="footer"/>
    <w:basedOn w:val="Normal"/>
    <w:link w:val="FooterChar"/>
    <w:uiPriority w:val="99"/>
    <w:unhideWhenUsed/>
    <w:rsid w:val="00FE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8D7"/>
    <w:rPr>
      <w:lang w:val="ro-RO"/>
    </w:rPr>
  </w:style>
  <w:style w:type="paragraph" w:styleId="ListParagraph">
    <w:name w:val="List Paragraph"/>
    <w:basedOn w:val="Normal"/>
    <w:uiPriority w:val="34"/>
    <w:qFormat/>
    <w:rsid w:val="00FE18D7"/>
    <w:pPr>
      <w:ind w:left="720"/>
      <w:contextualSpacing/>
    </w:pPr>
  </w:style>
  <w:style w:type="character" w:styleId="UnresolvedMention">
    <w:name w:val="Unresolved Mention"/>
    <w:basedOn w:val="DefaultParagraphFont"/>
    <w:uiPriority w:val="99"/>
    <w:semiHidden/>
    <w:unhideWhenUsed/>
    <w:rsid w:val="00FE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ObjectId=09000016804d0fc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ce.coe.int/en/files/23517" TargetMode="External"/><Relationship Id="rId4" Type="http://schemas.openxmlformats.org/officeDocument/2006/relationships/settings" Target="settings.xml"/><Relationship Id="rId9" Type="http://schemas.openxmlformats.org/officeDocument/2006/relationships/hyperlink" Target="https://search.coe.int/cm/Pages/result_details.aspx?ObjectId=09000016804d0fc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ace.coe.int/en/files/28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75C0-4DB4-44B0-812D-A9AC4EC0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MORECUT</dc:creator>
  <cp:keywords/>
  <dc:description/>
  <cp:lastModifiedBy>Veronica MORECUT</cp:lastModifiedBy>
  <cp:revision>3</cp:revision>
  <dcterms:created xsi:type="dcterms:W3CDTF">2021-01-13T20:01:00Z</dcterms:created>
  <dcterms:modified xsi:type="dcterms:W3CDTF">2021-01-13T20:06:00Z</dcterms:modified>
</cp:coreProperties>
</file>