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87E1D" w14:textId="77777777" w:rsidR="00480505" w:rsidRPr="00383AF6" w:rsidRDefault="00480505" w:rsidP="009D43E1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83AF6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5A8B1DC3" w14:textId="77777777" w:rsidR="00480505" w:rsidRPr="00383AF6" w:rsidRDefault="00480505" w:rsidP="009D43E1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383AF6">
        <w:rPr>
          <w:rFonts w:ascii="Times New Roman" w:hAnsi="Times New Roman"/>
          <w:b/>
          <w:bCs/>
          <w:i/>
          <w:iCs/>
          <w:sz w:val="32"/>
          <w:szCs w:val="32"/>
        </w:rPr>
        <w:t>CONSILIUL UNIUNII</w:t>
      </w:r>
    </w:p>
    <w:p w14:paraId="2601AC04" w14:textId="77777777" w:rsidR="000F101C" w:rsidRDefault="000F101C" w:rsidP="009D43E1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2930D7B1" w14:textId="77777777" w:rsidR="0001422A" w:rsidRPr="0050288E" w:rsidRDefault="0001422A" w:rsidP="009D43E1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51CF6AA8" w14:textId="1B06FF4D" w:rsidR="007379F6" w:rsidRDefault="00505143" w:rsidP="009D43E1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50288E">
        <w:rPr>
          <w:rFonts w:ascii="Times New Roman" w:hAnsi="Times New Roman"/>
          <w:b/>
          <w:bCs/>
          <w:iCs/>
          <w:sz w:val="28"/>
          <w:szCs w:val="28"/>
          <w:u w:val="single"/>
        </w:rPr>
        <w:t>HOTĂRÂREA</w:t>
      </w:r>
      <w:r w:rsidR="007379F6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nr.</w:t>
      </w:r>
      <w:r w:rsidR="00FB073A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</w:t>
      </w:r>
      <w:r w:rsidR="00F66A80">
        <w:rPr>
          <w:rFonts w:ascii="Times New Roman" w:hAnsi="Times New Roman"/>
          <w:b/>
          <w:bCs/>
          <w:iCs/>
          <w:sz w:val="28"/>
          <w:szCs w:val="28"/>
          <w:u w:val="single"/>
        </w:rPr>
        <w:t>117</w:t>
      </w:r>
    </w:p>
    <w:p w14:paraId="1D3B8234" w14:textId="6BBEF31F" w:rsidR="00480505" w:rsidRDefault="00F66A80" w:rsidP="009D43E1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29-30 ianuarie 2021</w:t>
      </w:r>
    </w:p>
    <w:p w14:paraId="0EFED032" w14:textId="77777777" w:rsidR="00600708" w:rsidRPr="0050288E" w:rsidRDefault="00600708" w:rsidP="009D43E1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6085D6B1" w14:textId="77777777" w:rsidR="003D59AA" w:rsidRDefault="0001422A" w:rsidP="009D43E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privind c</w:t>
      </w:r>
      <w:r w:rsidRPr="0001422A">
        <w:rPr>
          <w:rFonts w:ascii="Times New Roman" w:hAnsi="Times New Roman"/>
          <w:b/>
          <w:sz w:val="28"/>
          <w:szCs w:val="28"/>
        </w:rPr>
        <w:t>otele de contribuție la sistemul C.A.A</w:t>
      </w:r>
    </w:p>
    <w:p w14:paraId="098A3DEA" w14:textId="77777777" w:rsidR="0001422A" w:rsidRPr="0050288E" w:rsidRDefault="0001422A" w:rsidP="009D43E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75E5EB" w14:textId="25FFE6FC" w:rsidR="0063571C" w:rsidRPr="00403B00" w:rsidRDefault="00383AF6" w:rsidP="009D43E1">
      <w:pPr>
        <w:spacing w:line="276" w:lineRule="auto"/>
        <w:jc w:val="both"/>
        <w:rPr>
          <w:rFonts w:ascii="Times New Roman" w:hAnsi="Times New Roman"/>
          <w:i/>
        </w:rPr>
      </w:pPr>
      <w:r w:rsidRPr="00403B00">
        <w:rPr>
          <w:rFonts w:ascii="Times New Roman" w:hAnsi="Times New Roman"/>
        </w:rPr>
        <w:tab/>
      </w:r>
      <w:r w:rsidR="00BD6200">
        <w:rPr>
          <w:rFonts w:ascii="Times New Roman" w:hAnsi="Times New Roman"/>
          <w:i/>
        </w:rPr>
        <w:t>În conformitate cu dispozițiile art. 65 lit. s) din Legea 51/1995 privind organizarea și exercitarea profesiei de avocat, republicată</w:t>
      </w:r>
      <w:r w:rsidR="009D43E1">
        <w:rPr>
          <w:rFonts w:ascii="Times New Roman" w:hAnsi="Times New Roman"/>
          <w:i/>
        </w:rPr>
        <w:t xml:space="preserve"> și</w:t>
      </w:r>
      <w:r w:rsidRPr="00403B00">
        <w:rPr>
          <w:rFonts w:ascii="Times New Roman" w:hAnsi="Times New Roman"/>
          <w:i/>
        </w:rPr>
        <w:t xml:space="preserve"> </w:t>
      </w:r>
      <w:r w:rsidR="00B06B5F">
        <w:rPr>
          <w:rFonts w:ascii="Times New Roman" w:hAnsi="Times New Roman"/>
          <w:i/>
        </w:rPr>
        <w:t xml:space="preserve">ale </w:t>
      </w:r>
      <w:r w:rsidR="00B06B5F" w:rsidRPr="00B06B5F">
        <w:rPr>
          <w:rFonts w:ascii="Times New Roman" w:hAnsi="Times New Roman"/>
          <w:i/>
        </w:rPr>
        <w:t xml:space="preserve">art. </w:t>
      </w:r>
      <w:r w:rsidR="00B23B56">
        <w:rPr>
          <w:rFonts w:ascii="Times New Roman" w:hAnsi="Times New Roman"/>
          <w:i/>
        </w:rPr>
        <w:t>20 alin. (3)</w:t>
      </w:r>
      <w:r w:rsidR="00B06B5F" w:rsidRPr="00B06B5F">
        <w:rPr>
          <w:rFonts w:ascii="Times New Roman" w:hAnsi="Times New Roman"/>
          <w:i/>
        </w:rPr>
        <w:t xml:space="preserve"> din </w:t>
      </w:r>
      <w:r w:rsidR="00B23B56">
        <w:rPr>
          <w:rFonts w:ascii="Times New Roman" w:hAnsi="Times New Roman"/>
          <w:i/>
        </w:rPr>
        <w:t xml:space="preserve">Legea 72/2016 </w:t>
      </w:r>
      <w:r w:rsidR="00B23B56" w:rsidRPr="00B23B56">
        <w:rPr>
          <w:rFonts w:ascii="Times New Roman" w:hAnsi="Times New Roman"/>
          <w:i/>
        </w:rPr>
        <w:t xml:space="preserve">privind sistemul de pensii </w:t>
      </w:r>
      <w:r w:rsidR="00E078D4" w:rsidRPr="00B23B56">
        <w:rPr>
          <w:rFonts w:ascii="Times New Roman" w:hAnsi="Times New Roman"/>
          <w:i/>
        </w:rPr>
        <w:t>și</w:t>
      </w:r>
      <w:r w:rsidR="00B23B56" w:rsidRPr="00B23B56">
        <w:rPr>
          <w:rFonts w:ascii="Times New Roman" w:hAnsi="Times New Roman"/>
          <w:i/>
        </w:rPr>
        <w:t xml:space="preserve"> alte drepturi de as</w:t>
      </w:r>
      <w:r w:rsidR="00B23B56">
        <w:rPr>
          <w:rFonts w:ascii="Times New Roman" w:hAnsi="Times New Roman"/>
          <w:i/>
        </w:rPr>
        <w:t>igurări sociale ale avocaților</w:t>
      </w:r>
      <w:r w:rsidRPr="00403B00">
        <w:rPr>
          <w:rFonts w:ascii="Times New Roman" w:hAnsi="Times New Roman"/>
          <w:i/>
        </w:rPr>
        <w:t>;</w:t>
      </w:r>
    </w:p>
    <w:p w14:paraId="332D0FFB" w14:textId="29C0FEA9" w:rsidR="00F66A80" w:rsidRDefault="00F66A80" w:rsidP="00F66A80">
      <w:pPr>
        <w:spacing w:line="276" w:lineRule="auto"/>
        <w:jc w:val="both"/>
        <w:rPr>
          <w:rFonts w:ascii="Times New Roman" w:hAnsi="Times New Roman"/>
          <w:i/>
        </w:rPr>
      </w:pPr>
      <w:r w:rsidRPr="00BD501A">
        <w:rPr>
          <w:rFonts w:ascii="Times New Roman" w:hAnsi="Times New Roman"/>
          <w:i/>
        </w:rPr>
        <w:t xml:space="preserve">Ținând cont de situația financiară a sistemului </w:t>
      </w:r>
      <w:r>
        <w:rPr>
          <w:rFonts w:ascii="Times New Roman" w:hAnsi="Times New Roman"/>
          <w:i/>
        </w:rPr>
        <w:t xml:space="preserve">Casei de Asigurări a Avocaților (în continuare, </w:t>
      </w:r>
      <w:r w:rsidRPr="00BD501A">
        <w:rPr>
          <w:rFonts w:ascii="Times New Roman" w:hAnsi="Times New Roman"/>
          <w:i/>
        </w:rPr>
        <w:t>C.A.A.</w:t>
      </w:r>
      <w:r>
        <w:rPr>
          <w:rFonts w:ascii="Times New Roman" w:hAnsi="Times New Roman"/>
          <w:i/>
        </w:rPr>
        <w:t>)</w:t>
      </w:r>
      <w:r w:rsidRPr="00BD501A">
        <w:rPr>
          <w:rFonts w:ascii="Times New Roman" w:hAnsi="Times New Roman"/>
          <w:i/>
        </w:rPr>
        <w:t xml:space="preserve"> și de propunerea Consiliului de Administrație al C.A.A., astfel cum au fost prezentate în ședința Consiliului Uniunii Naționale a Barourilor din România (în continuare</w:t>
      </w:r>
      <w:r>
        <w:rPr>
          <w:rFonts w:ascii="Times New Roman" w:hAnsi="Times New Roman"/>
          <w:i/>
        </w:rPr>
        <w:t>,</w:t>
      </w:r>
      <w:r w:rsidRPr="00BD501A">
        <w:rPr>
          <w:rFonts w:ascii="Times New Roman" w:hAnsi="Times New Roman"/>
          <w:i/>
        </w:rPr>
        <w:t xml:space="preserve"> U</w:t>
      </w:r>
      <w:r>
        <w:rPr>
          <w:rFonts w:ascii="Times New Roman" w:hAnsi="Times New Roman"/>
          <w:i/>
        </w:rPr>
        <w:t>.N.B.R.</w:t>
      </w:r>
      <w:r w:rsidRPr="00BD501A">
        <w:rPr>
          <w:rFonts w:ascii="Times New Roman" w:hAnsi="Times New Roman"/>
          <w:i/>
        </w:rPr>
        <w:t xml:space="preserve">) </w:t>
      </w:r>
      <w:r>
        <w:rPr>
          <w:rFonts w:ascii="Times New Roman" w:hAnsi="Times New Roman"/>
          <w:i/>
        </w:rPr>
        <w:t>din 29-30.01.2021 și în Adresa 17.11.2020, comunicată către membrii Consiliului în 10.12.2020</w:t>
      </w:r>
      <w:r w:rsidRPr="00BD501A">
        <w:rPr>
          <w:rFonts w:ascii="Times New Roman" w:hAnsi="Times New Roman"/>
          <w:i/>
        </w:rPr>
        <w:t>;</w:t>
      </w:r>
    </w:p>
    <w:p w14:paraId="2F12AE8E" w14:textId="77777777" w:rsidR="00F66A80" w:rsidRDefault="00F66A80" w:rsidP="00F66A80">
      <w:pPr>
        <w:spacing w:line="276" w:lineRule="auto"/>
        <w:ind w:firstLine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Luând în calcul </w:t>
      </w:r>
      <w:r w:rsidRPr="007802AF">
        <w:rPr>
          <w:rFonts w:ascii="Times New Roman" w:hAnsi="Times New Roman"/>
          <w:i/>
        </w:rPr>
        <w:t xml:space="preserve">rata inflației </w:t>
      </w:r>
      <w:r>
        <w:rPr>
          <w:rFonts w:ascii="Times New Roman" w:hAnsi="Times New Roman"/>
          <w:i/>
        </w:rPr>
        <w:t xml:space="preserve">de </w:t>
      </w:r>
      <w:r w:rsidRPr="007874C1">
        <w:rPr>
          <w:rFonts w:ascii="Times New Roman" w:hAnsi="Times New Roman"/>
          <w:i/>
        </w:rPr>
        <w:t>2,25%, cifră apreciată ca fiind rata inflației pe anul 2020</w:t>
      </w:r>
      <w:r>
        <w:rPr>
          <w:rFonts w:ascii="Times New Roman" w:hAnsi="Times New Roman"/>
          <w:i/>
        </w:rPr>
        <w:t>;</w:t>
      </w:r>
    </w:p>
    <w:p w14:paraId="765FF14D" w14:textId="77777777" w:rsidR="00F66A80" w:rsidRDefault="00F66A80" w:rsidP="00F66A80">
      <w:pPr>
        <w:spacing w:line="276" w:lineRule="auto"/>
        <w:ind w:firstLine="720"/>
        <w:jc w:val="both"/>
        <w:rPr>
          <w:rFonts w:ascii="Times New Roman" w:hAnsi="Times New Roman"/>
          <w:i/>
        </w:rPr>
      </w:pPr>
      <w:r w:rsidRPr="00F66A80">
        <w:rPr>
          <w:rFonts w:ascii="Times New Roman" w:hAnsi="Times New Roman"/>
          <w:i/>
        </w:rPr>
        <w:t xml:space="preserve">Având în vedere că, pentru venitul de referință propus de CAA </w:t>
      </w:r>
      <w:r>
        <w:rPr>
          <w:rFonts w:ascii="Times New Roman" w:hAnsi="Times New Roman"/>
          <w:i/>
        </w:rPr>
        <w:t xml:space="preserve">și aprobat de Consiliul UNBR în cuantum </w:t>
      </w:r>
      <w:r w:rsidRPr="00F66A80">
        <w:rPr>
          <w:rFonts w:ascii="Times New Roman" w:hAnsi="Times New Roman"/>
          <w:i/>
        </w:rPr>
        <w:t xml:space="preserve">de 2.840 lei, actuala cotă de contribuție </w:t>
      </w:r>
      <w:r>
        <w:rPr>
          <w:rFonts w:ascii="Times New Roman" w:hAnsi="Times New Roman"/>
          <w:i/>
        </w:rPr>
        <w:t xml:space="preserve">minimă </w:t>
      </w:r>
      <w:r w:rsidRPr="00F66A80">
        <w:rPr>
          <w:rFonts w:ascii="Times New Roman" w:hAnsi="Times New Roman"/>
          <w:i/>
        </w:rPr>
        <w:t xml:space="preserve">duce la acumularea unui punctaj de pensie aferent mai mic decât 1 punct de pensie lunară, ceea ce ar conduce la dezavantaje majore către contribuabili, </w:t>
      </w:r>
    </w:p>
    <w:p w14:paraId="6BF657BC" w14:textId="7E0B619F" w:rsidR="00F66A80" w:rsidRDefault="00F66A80" w:rsidP="00F66A80">
      <w:pPr>
        <w:spacing w:line="276" w:lineRule="auto"/>
        <w:ind w:firstLine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L</w:t>
      </w:r>
      <w:r w:rsidRPr="00F66A80">
        <w:rPr>
          <w:rFonts w:ascii="Times New Roman" w:hAnsi="Times New Roman"/>
          <w:i/>
        </w:rPr>
        <w:t xml:space="preserve">a propunerea Filialei București a CAA, </w:t>
      </w:r>
      <w:r>
        <w:rPr>
          <w:rFonts w:ascii="Times New Roman" w:hAnsi="Times New Roman"/>
          <w:i/>
        </w:rPr>
        <w:t xml:space="preserve">însușită de către </w:t>
      </w:r>
      <w:r w:rsidRPr="00F66A80">
        <w:rPr>
          <w:rFonts w:ascii="Times New Roman" w:hAnsi="Times New Roman"/>
          <w:i/>
        </w:rPr>
        <w:t>Consiliul de administrație a C</w:t>
      </w:r>
      <w:r>
        <w:rPr>
          <w:rFonts w:ascii="Times New Roman" w:hAnsi="Times New Roman"/>
          <w:i/>
        </w:rPr>
        <w:t>.</w:t>
      </w:r>
      <w:r w:rsidRPr="00F66A80"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</w:rPr>
        <w:t>.</w:t>
      </w:r>
      <w:r w:rsidRPr="00F66A80"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</w:rPr>
        <w:t>., care s-</w:t>
      </w:r>
      <w:r w:rsidRPr="00F66A80">
        <w:rPr>
          <w:rFonts w:ascii="Times New Roman" w:hAnsi="Times New Roman"/>
          <w:i/>
        </w:rPr>
        <w:t>a întrunit de urgență</w:t>
      </w:r>
      <w:r>
        <w:rPr>
          <w:rFonts w:ascii="Times New Roman" w:hAnsi="Times New Roman"/>
          <w:i/>
        </w:rPr>
        <w:t xml:space="preserve"> și </w:t>
      </w:r>
      <w:r w:rsidRPr="00F66A80">
        <w:rPr>
          <w:rFonts w:ascii="Times New Roman" w:hAnsi="Times New Roman"/>
          <w:i/>
        </w:rPr>
        <w:t>a adoptat și a înaintat o propunere în acest sens către Consiliul U</w:t>
      </w:r>
      <w:r>
        <w:rPr>
          <w:rFonts w:ascii="Times New Roman" w:hAnsi="Times New Roman"/>
          <w:i/>
        </w:rPr>
        <w:t>.</w:t>
      </w:r>
      <w:r w:rsidRPr="00F66A80">
        <w:rPr>
          <w:rFonts w:ascii="Times New Roman" w:hAnsi="Times New Roman"/>
          <w:i/>
        </w:rPr>
        <w:t>N</w:t>
      </w:r>
      <w:r>
        <w:rPr>
          <w:rFonts w:ascii="Times New Roman" w:hAnsi="Times New Roman"/>
          <w:i/>
        </w:rPr>
        <w:t>.</w:t>
      </w:r>
      <w:r w:rsidRPr="00F66A80">
        <w:rPr>
          <w:rFonts w:ascii="Times New Roman" w:hAnsi="Times New Roman"/>
          <w:i/>
        </w:rPr>
        <w:t>B</w:t>
      </w:r>
      <w:r>
        <w:rPr>
          <w:rFonts w:ascii="Times New Roman" w:hAnsi="Times New Roman"/>
          <w:i/>
        </w:rPr>
        <w:t>.</w:t>
      </w:r>
      <w:r w:rsidRPr="00F66A80">
        <w:rPr>
          <w:rFonts w:ascii="Times New Roman" w:hAnsi="Times New Roman"/>
          <w:i/>
        </w:rPr>
        <w:t>R.</w:t>
      </w:r>
      <w:r w:rsidRPr="007802AF">
        <w:rPr>
          <w:rFonts w:ascii="Times New Roman" w:hAnsi="Times New Roman"/>
          <w:i/>
        </w:rPr>
        <w:t xml:space="preserve"> </w:t>
      </w:r>
    </w:p>
    <w:p w14:paraId="62CAE560" w14:textId="77777777" w:rsidR="00F66A80" w:rsidRPr="00BD501A" w:rsidRDefault="00F66A80" w:rsidP="00F66A80">
      <w:pPr>
        <w:spacing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Având în vedere poziția Comisiei Permanente a UNBR, întrunită în sistem videoconferință în 18.12.2020 și în format fizic, în 28.01.2021, precum și dezbaterile din ședința Consiliului U.N.B.R.,</w:t>
      </w:r>
    </w:p>
    <w:p w14:paraId="1CCE81DF" w14:textId="77777777" w:rsidR="00F66A80" w:rsidRPr="002F247E" w:rsidRDefault="00F66A80" w:rsidP="00F66A80">
      <w:pPr>
        <w:jc w:val="both"/>
        <w:rPr>
          <w:rFonts w:ascii="Times New Roman" w:hAnsi="Times New Roman"/>
          <w:i/>
        </w:rPr>
      </w:pPr>
      <w:r w:rsidRPr="00BD501A">
        <w:rPr>
          <w:rFonts w:ascii="Times New Roman" w:hAnsi="Times New Roman"/>
          <w:i/>
        </w:rPr>
        <w:tab/>
        <w:t>Consiliul U</w:t>
      </w:r>
      <w:r>
        <w:rPr>
          <w:rFonts w:ascii="Times New Roman" w:hAnsi="Times New Roman"/>
          <w:i/>
        </w:rPr>
        <w:t>.</w:t>
      </w:r>
      <w:r w:rsidRPr="00BD501A">
        <w:rPr>
          <w:rFonts w:ascii="Times New Roman" w:hAnsi="Times New Roman"/>
          <w:i/>
        </w:rPr>
        <w:t>N</w:t>
      </w:r>
      <w:r>
        <w:rPr>
          <w:rFonts w:ascii="Times New Roman" w:hAnsi="Times New Roman"/>
          <w:i/>
        </w:rPr>
        <w:t>.</w:t>
      </w:r>
      <w:r w:rsidRPr="00BD501A">
        <w:rPr>
          <w:rFonts w:ascii="Times New Roman" w:hAnsi="Times New Roman"/>
          <w:i/>
        </w:rPr>
        <w:t>B</w:t>
      </w:r>
      <w:r>
        <w:rPr>
          <w:rFonts w:ascii="Times New Roman" w:hAnsi="Times New Roman"/>
          <w:i/>
        </w:rPr>
        <w:t>.</w:t>
      </w:r>
      <w:r w:rsidRPr="00BD501A">
        <w:rPr>
          <w:rFonts w:ascii="Times New Roman" w:hAnsi="Times New Roman"/>
          <w:i/>
        </w:rPr>
        <w:t>R</w:t>
      </w:r>
      <w:r>
        <w:rPr>
          <w:rFonts w:ascii="Times New Roman" w:hAnsi="Times New Roman"/>
          <w:i/>
        </w:rPr>
        <w:t xml:space="preserve">. </w:t>
      </w:r>
      <w:r w:rsidRPr="002F247E">
        <w:rPr>
          <w:rFonts w:ascii="Times New Roman" w:hAnsi="Times New Roman"/>
          <w:i/>
        </w:rPr>
        <w:t>întrunit în ședința</w:t>
      </w:r>
      <w:r>
        <w:rPr>
          <w:rFonts w:ascii="Times New Roman" w:hAnsi="Times New Roman"/>
          <w:i/>
        </w:rPr>
        <w:t xml:space="preserve"> </w:t>
      </w:r>
      <w:r w:rsidRPr="002F247E">
        <w:rPr>
          <w:rFonts w:ascii="Times New Roman" w:hAnsi="Times New Roman"/>
          <w:i/>
        </w:rPr>
        <w:t xml:space="preserve">din </w:t>
      </w:r>
      <w:r>
        <w:rPr>
          <w:rFonts w:ascii="Times New Roman" w:hAnsi="Times New Roman"/>
          <w:b/>
          <w:i/>
        </w:rPr>
        <w:t>29-30.01.2021</w:t>
      </w:r>
      <w:r w:rsidRPr="002F247E">
        <w:rPr>
          <w:rFonts w:ascii="Times New Roman" w:hAnsi="Times New Roman"/>
          <w:i/>
        </w:rPr>
        <w:t>, adoptă prezenta:</w:t>
      </w:r>
    </w:p>
    <w:p w14:paraId="2D1C1A8B" w14:textId="151F996D" w:rsidR="00383AF6" w:rsidRPr="0063571C" w:rsidRDefault="00AF5703" w:rsidP="00F66A80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D501A">
        <w:rPr>
          <w:rFonts w:ascii="Times New Roman" w:hAnsi="Times New Roman"/>
          <w:i/>
        </w:rPr>
        <w:tab/>
      </w:r>
    </w:p>
    <w:p w14:paraId="2A331CBD" w14:textId="77777777" w:rsidR="00383AF6" w:rsidRPr="0063571C" w:rsidRDefault="00383AF6" w:rsidP="009D43E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E25B20" w14:textId="77777777" w:rsidR="00383AF6" w:rsidRPr="0063571C" w:rsidRDefault="00383AF6" w:rsidP="009D43E1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571C">
        <w:rPr>
          <w:rFonts w:ascii="Times New Roman" w:hAnsi="Times New Roman"/>
          <w:b/>
          <w:bCs/>
          <w:sz w:val="28"/>
          <w:szCs w:val="28"/>
        </w:rPr>
        <w:t>HOTĂRÂRE:</w:t>
      </w:r>
    </w:p>
    <w:p w14:paraId="57CE93A5" w14:textId="77777777" w:rsidR="00383AF6" w:rsidRPr="0063571C" w:rsidRDefault="00383AF6" w:rsidP="009D43E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03038C" w14:textId="77777777" w:rsidR="00383AF6" w:rsidRPr="0063571C" w:rsidRDefault="00383AF6" w:rsidP="009D43E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ABED33" w14:textId="77777777" w:rsidR="000B46B3" w:rsidRDefault="00383AF6" w:rsidP="009D43E1">
      <w:pPr>
        <w:spacing w:line="276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403B00">
        <w:rPr>
          <w:rFonts w:ascii="Times New Roman" w:hAnsi="Times New Roman"/>
          <w:b/>
          <w:bCs/>
        </w:rPr>
        <w:t>Art. 1</w:t>
      </w:r>
      <w:r w:rsidRPr="00403B00">
        <w:rPr>
          <w:rFonts w:ascii="Times New Roman" w:hAnsi="Times New Roman"/>
          <w:bCs/>
        </w:rPr>
        <w:t xml:space="preserve"> </w:t>
      </w:r>
      <w:r w:rsidR="00312AC7" w:rsidRPr="00403B00">
        <w:rPr>
          <w:rFonts w:ascii="Times New Roman" w:hAnsi="Times New Roman"/>
          <w:b/>
          <w:bCs/>
        </w:rPr>
        <w:t xml:space="preserve">– </w:t>
      </w:r>
      <w:r w:rsidR="000B46B3">
        <w:rPr>
          <w:rFonts w:ascii="Times New Roman" w:hAnsi="Times New Roman"/>
          <w:b/>
          <w:bCs/>
        </w:rPr>
        <w:t xml:space="preserve">(1) </w:t>
      </w:r>
      <w:r w:rsidR="00DB1BCC" w:rsidRPr="00CE5C8F">
        <w:rPr>
          <w:rFonts w:ascii="Times New Roman" w:hAnsi="Times New Roman"/>
          <w:b/>
          <w:bCs/>
        </w:rPr>
        <w:t>S</w:t>
      </w:r>
      <w:r w:rsidR="000B46B3" w:rsidRPr="00CE5C8F">
        <w:rPr>
          <w:rFonts w:ascii="Times New Roman" w:eastAsia="Calibri" w:hAnsi="Times New Roman"/>
          <w:b/>
          <w:lang w:eastAsia="en-US"/>
        </w:rPr>
        <w:t>e menține contribuția procentuală individuală obligatorie a tuturor avocaților cu drept de exercițiu al profesiei la sistemul C.A.A. la valoarea de 11%</w:t>
      </w:r>
      <w:r w:rsidR="000B46B3" w:rsidRPr="000B46B3">
        <w:rPr>
          <w:rFonts w:ascii="Times New Roman" w:eastAsia="Calibri" w:hAnsi="Times New Roman"/>
          <w:lang w:eastAsia="en-US"/>
        </w:rPr>
        <w:t xml:space="preserve"> din venitul brut din profesie realizat de avocat, dar nu mai puțin </w:t>
      </w:r>
      <w:r w:rsidR="000B46B3">
        <w:rPr>
          <w:rFonts w:ascii="Times New Roman" w:eastAsia="Calibri" w:hAnsi="Times New Roman"/>
          <w:lang w:eastAsia="en-US"/>
        </w:rPr>
        <w:t>de suma reprezentând cota minimă</w:t>
      </w:r>
      <w:r w:rsidR="000B46B3" w:rsidRPr="000B46B3">
        <w:rPr>
          <w:rFonts w:ascii="Times New Roman" w:eastAsia="Calibri" w:hAnsi="Times New Roman"/>
          <w:lang w:eastAsia="en-US"/>
        </w:rPr>
        <w:t xml:space="preserve"> obligatorie și nici mai mult de s</w:t>
      </w:r>
      <w:r w:rsidR="000B46B3">
        <w:rPr>
          <w:rFonts w:ascii="Times New Roman" w:eastAsia="Calibri" w:hAnsi="Times New Roman"/>
          <w:lang w:eastAsia="en-US"/>
        </w:rPr>
        <w:t>uma reprezentând cota maximă</w:t>
      </w:r>
      <w:r w:rsidR="000B46B3" w:rsidRPr="000B46B3">
        <w:rPr>
          <w:rFonts w:ascii="Times New Roman" w:eastAsia="Calibri" w:hAnsi="Times New Roman"/>
          <w:lang w:eastAsia="en-US"/>
        </w:rPr>
        <w:t xml:space="preserve"> de contribuție obligatorie</w:t>
      </w:r>
      <w:r w:rsidR="000B46B3">
        <w:rPr>
          <w:rFonts w:ascii="Times New Roman" w:eastAsia="Calibri" w:hAnsi="Times New Roman"/>
          <w:lang w:eastAsia="en-US"/>
        </w:rPr>
        <w:t>.</w:t>
      </w:r>
    </w:p>
    <w:p w14:paraId="37B7811D" w14:textId="17473800" w:rsidR="008D1367" w:rsidRDefault="00DB1BCC" w:rsidP="009D43E1">
      <w:pPr>
        <w:spacing w:line="276" w:lineRule="auto"/>
        <w:ind w:firstLine="567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(2</w:t>
      </w:r>
      <w:r w:rsidR="000B46B3" w:rsidRPr="00DB1BCC">
        <w:rPr>
          <w:rFonts w:ascii="Times New Roman" w:eastAsia="Calibri" w:hAnsi="Times New Roman"/>
          <w:b/>
          <w:lang w:eastAsia="en-US"/>
        </w:rPr>
        <w:t>)</w:t>
      </w:r>
      <w:r w:rsidR="000B46B3">
        <w:rPr>
          <w:rFonts w:ascii="Times New Roman" w:eastAsia="Calibri" w:hAnsi="Times New Roman"/>
          <w:lang w:eastAsia="en-US"/>
        </w:rPr>
        <w:t xml:space="preserve"> </w:t>
      </w:r>
      <w:r w:rsidR="00FB073A" w:rsidRPr="00FB073A">
        <w:rPr>
          <w:rFonts w:ascii="Times New Roman" w:eastAsia="Calibri" w:hAnsi="Times New Roman"/>
          <w:b/>
          <w:lang w:eastAsia="en-US"/>
        </w:rPr>
        <w:t xml:space="preserve">Se </w:t>
      </w:r>
      <w:r w:rsidR="00296BC7">
        <w:rPr>
          <w:rFonts w:ascii="Times New Roman" w:eastAsia="Calibri" w:hAnsi="Times New Roman"/>
          <w:b/>
          <w:lang w:eastAsia="en-US"/>
        </w:rPr>
        <w:t>stabilește</w:t>
      </w:r>
      <w:r w:rsidR="00FB073A" w:rsidRPr="00FB073A">
        <w:rPr>
          <w:rFonts w:ascii="Times New Roman" w:eastAsia="Calibri" w:hAnsi="Times New Roman"/>
          <w:b/>
          <w:lang w:eastAsia="en-US"/>
        </w:rPr>
        <w:t xml:space="preserve"> cota</w:t>
      </w:r>
      <w:r w:rsidR="000B46B3" w:rsidRPr="00CE5C8F">
        <w:rPr>
          <w:rFonts w:ascii="Times New Roman" w:eastAsia="Calibri" w:hAnsi="Times New Roman"/>
          <w:b/>
          <w:lang w:eastAsia="en-US"/>
        </w:rPr>
        <w:t xml:space="preserve"> minimă de contribuție obligatorie pentru avocații definitivi </w:t>
      </w:r>
      <w:r w:rsidR="00FB073A">
        <w:rPr>
          <w:rFonts w:ascii="Times New Roman" w:eastAsia="Calibri" w:hAnsi="Times New Roman"/>
          <w:b/>
          <w:lang w:eastAsia="en-US"/>
        </w:rPr>
        <w:t xml:space="preserve">la valoarea de </w:t>
      </w:r>
      <w:r w:rsidR="000B46B3" w:rsidRPr="00CE5C8F">
        <w:rPr>
          <w:rFonts w:ascii="Times New Roman" w:eastAsia="Calibri" w:hAnsi="Times New Roman"/>
          <w:b/>
          <w:lang w:eastAsia="en-US"/>
        </w:rPr>
        <w:t>3</w:t>
      </w:r>
      <w:r w:rsidR="00F66A80">
        <w:rPr>
          <w:rFonts w:ascii="Times New Roman" w:eastAsia="Calibri" w:hAnsi="Times New Roman"/>
          <w:b/>
          <w:lang w:eastAsia="en-US"/>
        </w:rPr>
        <w:t>12</w:t>
      </w:r>
      <w:r w:rsidR="000B46B3" w:rsidRPr="00CE5C8F">
        <w:rPr>
          <w:rFonts w:ascii="Times New Roman" w:eastAsia="Calibri" w:hAnsi="Times New Roman"/>
          <w:b/>
          <w:lang w:eastAsia="en-US"/>
        </w:rPr>
        <w:t xml:space="preserve"> lei</w:t>
      </w:r>
      <w:r w:rsidR="000B46B3">
        <w:rPr>
          <w:rFonts w:ascii="Times New Roman" w:eastAsia="Calibri" w:hAnsi="Times New Roman"/>
          <w:lang w:eastAsia="en-US"/>
        </w:rPr>
        <w:t xml:space="preserve">, aferentă unui venit </w:t>
      </w:r>
      <w:r w:rsidR="00CE5C8F">
        <w:rPr>
          <w:rFonts w:ascii="Times New Roman" w:eastAsia="Calibri" w:hAnsi="Times New Roman"/>
          <w:lang w:eastAsia="en-US"/>
        </w:rPr>
        <w:t xml:space="preserve">brut </w:t>
      </w:r>
      <w:r w:rsidR="000B46B3">
        <w:rPr>
          <w:rFonts w:ascii="Times New Roman" w:eastAsia="Calibri" w:hAnsi="Times New Roman"/>
          <w:lang w:eastAsia="en-US"/>
        </w:rPr>
        <w:t xml:space="preserve">de </w:t>
      </w:r>
      <w:r w:rsidR="00F66A80" w:rsidRPr="00F66A80">
        <w:rPr>
          <w:rFonts w:ascii="Times New Roman" w:eastAsia="Calibri" w:hAnsi="Times New Roman"/>
          <w:lang w:eastAsia="en-US"/>
        </w:rPr>
        <w:t>2.840 lei</w:t>
      </w:r>
      <w:r>
        <w:rPr>
          <w:rFonts w:ascii="Times New Roman" w:eastAsia="Calibri" w:hAnsi="Times New Roman"/>
          <w:lang w:eastAsia="en-US"/>
        </w:rPr>
        <w:t>.</w:t>
      </w:r>
    </w:p>
    <w:p w14:paraId="15E1093C" w14:textId="77777777" w:rsidR="00DB1BCC" w:rsidRDefault="00DB1BCC" w:rsidP="009D43E1">
      <w:pPr>
        <w:spacing w:line="276" w:lineRule="auto"/>
        <w:ind w:firstLine="567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(3</w:t>
      </w:r>
      <w:r w:rsidRPr="00DB1BCC">
        <w:rPr>
          <w:rFonts w:ascii="Times New Roman" w:eastAsia="Calibri" w:hAnsi="Times New Roman"/>
          <w:b/>
          <w:lang w:eastAsia="en-US"/>
        </w:rPr>
        <w:t>)</w:t>
      </w:r>
      <w:r>
        <w:rPr>
          <w:rFonts w:ascii="Times New Roman" w:eastAsia="Calibri" w:hAnsi="Times New Roman"/>
          <w:lang w:eastAsia="en-US"/>
        </w:rPr>
        <w:t xml:space="preserve"> </w:t>
      </w:r>
      <w:r w:rsidRPr="00CE5C8F">
        <w:rPr>
          <w:rFonts w:ascii="Times New Roman" w:eastAsia="Calibri" w:hAnsi="Times New Roman"/>
          <w:b/>
          <w:lang w:eastAsia="en-US"/>
        </w:rPr>
        <w:t>Se menține cota minimă de contribuție obligatorie pentru avocații stagiari la valoarea de 80 lei</w:t>
      </w:r>
      <w:r>
        <w:rPr>
          <w:rFonts w:ascii="Times New Roman" w:eastAsia="Calibri" w:hAnsi="Times New Roman"/>
          <w:lang w:eastAsia="en-US"/>
        </w:rPr>
        <w:t xml:space="preserve">, aferentă unui venit </w:t>
      </w:r>
      <w:r w:rsidR="00CE5C8F">
        <w:rPr>
          <w:rFonts w:ascii="Times New Roman" w:eastAsia="Calibri" w:hAnsi="Times New Roman"/>
          <w:lang w:eastAsia="en-US"/>
        </w:rPr>
        <w:t xml:space="preserve">brut </w:t>
      </w:r>
      <w:r>
        <w:rPr>
          <w:rFonts w:ascii="Times New Roman" w:eastAsia="Calibri" w:hAnsi="Times New Roman"/>
          <w:lang w:eastAsia="en-US"/>
        </w:rPr>
        <w:t>de 723 lei.</w:t>
      </w:r>
    </w:p>
    <w:p w14:paraId="752BF226" w14:textId="23A9BA41" w:rsidR="00DB1BCC" w:rsidRDefault="00DB1BCC" w:rsidP="009D43E1">
      <w:pPr>
        <w:spacing w:line="276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4C7D8F">
        <w:rPr>
          <w:rFonts w:ascii="Times New Roman" w:eastAsia="Calibri" w:hAnsi="Times New Roman"/>
          <w:b/>
          <w:lang w:eastAsia="en-US"/>
        </w:rPr>
        <w:t>(4)</w:t>
      </w:r>
      <w:r w:rsidRPr="004C7D8F">
        <w:rPr>
          <w:rFonts w:ascii="Times New Roman" w:eastAsia="Calibri" w:hAnsi="Times New Roman"/>
          <w:lang w:eastAsia="en-US"/>
        </w:rPr>
        <w:t xml:space="preserve"> </w:t>
      </w:r>
      <w:r w:rsidR="00FE758C" w:rsidRPr="00CE5C8F">
        <w:rPr>
          <w:rFonts w:ascii="Times New Roman" w:eastAsia="Calibri" w:hAnsi="Times New Roman"/>
          <w:b/>
          <w:lang w:eastAsia="en-US"/>
        </w:rPr>
        <w:t xml:space="preserve">Se </w:t>
      </w:r>
      <w:r w:rsidR="00296BC7">
        <w:rPr>
          <w:rFonts w:ascii="Times New Roman" w:eastAsia="Calibri" w:hAnsi="Times New Roman"/>
          <w:b/>
          <w:lang w:eastAsia="en-US"/>
        </w:rPr>
        <w:t>stabilește</w:t>
      </w:r>
      <w:r w:rsidR="00FE758C" w:rsidRPr="00CE5C8F">
        <w:rPr>
          <w:rFonts w:ascii="Times New Roman" w:eastAsia="Calibri" w:hAnsi="Times New Roman"/>
          <w:b/>
          <w:lang w:eastAsia="en-US"/>
        </w:rPr>
        <w:t xml:space="preserve"> cota </w:t>
      </w:r>
      <w:r w:rsidRPr="004C7D8F">
        <w:rPr>
          <w:rFonts w:ascii="Times New Roman" w:eastAsia="Calibri" w:hAnsi="Times New Roman"/>
          <w:b/>
          <w:lang w:eastAsia="en-US"/>
        </w:rPr>
        <w:t xml:space="preserve">maximă de contribuție obligatorie </w:t>
      </w:r>
      <w:r w:rsidR="00FE758C" w:rsidRPr="00CE5C8F">
        <w:rPr>
          <w:rFonts w:ascii="Times New Roman" w:eastAsia="Calibri" w:hAnsi="Times New Roman"/>
          <w:b/>
          <w:lang w:eastAsia="en-US"/>
        </w:rPr>
        <w:t>la valoarea de</w:t>
      </w:r>
      <w:r w:rsidRPr="004C7D8F">
        <w:rPr>
          <w:rFonts w:ascii="Times New Roman" w:eastAsia="Calibri" w:hAnsi="Times New Roman"/>
          <w:b/>
          <w:lang w:eastAsia="en-US"/>
        </w:rPr>
        <w:t xml:space="preserve"> </w:t>
      </w:r>
      <w:r w:rsidR="00F66A80" w:rsidRPr="00F66A80">
        <w:rPr>
          <w:rFonts w:ascii="Times New Roman" w:eastAsia="Calibri" w:hAnsi="Times New Roman"/>
          <w:b/>
          <w:lang w:eastAsia="en-US"/>
        </w:rPr>
        <w:t>1562</w:t>
      </w:r>
      <w:r w:rsidR="00F66A80">
        <w:rPr>
          <w:rFonts w:ascii="Times New Roman" w:eastAsia="Calibri" w:hAnsi="Times New Roman"/>
          <w:b/>
          <w:lang w:eastAsia="en-US"/>
        </w:rPr>
        <w:t xml:space="preserve"> lei</w:t>
      </w:r>
      <w:r w:rsidRPr="004C7D8F">
        <w:rPr>
          <w:rFonts w:ascii="Times New Roman" w:eastAsia="Calibri" w:hAnsi="Times New Roman"/>
          <w:lang w:eastAsia="en-US"/>
        </w:rPr>
        <w:t xml:space="preserve">, atât pentru avocații stagiari cât si pentru cei definitivi, aferentă unui venit </w:t>
      </w:r>
      <w:r w:rsidR="00CE5C8F" w:rsidRPr="004C7D8F">
        <w:rPr>
          <w:rFonts w:ascii="Times New Roman" w:eastAsia="Calibri" w:hAnsi="Times New Roman"/>
          <w:lang w:eastAsia="en-US"/>
        </w:rPr>
        <w:t xml:space="preserve">brut </w:t>
      </w:r>
      <w:r w:rsidRPr="004C7D8F">
        <w:rPr>
          <w:rFonts w:ascii="Times New Roman" w:eastAsia="Calibri" w:hAnsi="Times New Roman"/>
          <w:lang w:eastAsia="en-US"/>
        </w:rPr>
        <w:t>de 1</w:t>
      </w:r>
      <w:r w:rsidR="00F66A80">
        <w:rPr>
          <w:rFonts w:ascii="Times New Roman" w:eastAsia="Calibri" w:hAnsi="Times New Roman"/>
          <w:lang w:eastAsia="en-US"/>
        </w:rPr>
        <w:t>4</w:t>
      </w:r>
      <w:r w:rsidRPr="004C7D8F">
        <w:rPr>
          <w:rFonts w:ascii="Times New Roman" w:eastAsia="Calibri" w:hAnsi="Times New Roman"/>
          <w:lang w:eastAsia="en-US"/>
        </w:rPr>
        <w:t>.</w:t>
      </w:r>
      <w:r w:rsidR="004C7D8F" w:rsidRPr="004C7D8F">
        <w:rPr>
          <w:rFonts w:ascii="Times New Roman" w:eastAsia="Calibri" w:hAnsi="Times New Roman"/>
          <w:lang w:eastAsia="en-US"/>
        </w:rPr>
        <w:t>200</w:t>
      </w:r>
      <w:r w:rsidRPr="004C7D8F">
        <w:rPr>
          <w:rFonts w:ascii="Times New Roman" w:eastAsia="Calibri" w:hAnsi="Times New Roman"/>
          <w:lang w:eastAsia="en-US"/>
        </w:rPr>
        <w:t xml:space="preserve"> lei.</w:t>
      </w:r>
    </w:p>
    <w:p w14:paraId="03051885" w14:textId="77777777" w:rsidR="009D43E1" w:rsidRDefault="009D43E1" w:rsidP="009D43E1">
      <w:pPr>
        <w:spacing w:line="276" w:lineRule="auto"/>
        <w:ind w:firstLine="567"/>
        <w:jc w:val="both"/>
        <w:rPr>
          <w:rFonts w:ascii="Times New Roman" w:hAnsi="Times New Roman"/>
          <w:b/>
          <w:bCs/>
        </w:rPr>
      </w:pPr>
    </w:p>
    <w:p w14:paraId="31F59437" w14:textId="77777777" w:rsidR="000B46B3" w:rsidRPr="0001422A" w:rsidRDefault="000B46B3" w:rsidP="009D43E1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3543D7ED" w14:textId="47EAD177" w:rsidR="008D1367" w:rsidRDefault="00312AC7" w:rsidP="009D43E1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/>
          <w:lang w:eastAsia="en-US"/>
        </w:rPr>
      </w:pPr>
      <w:r w:rsidRPr="00403B00">
        <w:rPr>
          <w:rFonts w:ascii="Times New Roman" w:hAnsi="Times New Roman"/>
          <w:b/>
          <w:bCs/>
        </w:rPr>
        <w:t xml:space="preserve">Art. 2 – </w:t>
      </w:r>
      <w:r w:rsidR="008D1367" w:rsidRPr="00B06B5F">
        <w:rPr>
          <w:rFonts w:ascii="Times New Roman" w:eastAsia="Times New Roman" w:hAnsi="Times New Roman"/>
          <w:lang w:eastAsia="en-US"/>
        </w:rPr>
        <w:t xml:space="preserve">Cotele de contribuție la sistemul C.A.A. prevăzute la art. 1 se aplică pentru veniturile realizate din onorariile de avocat </w:t>
      </w:r>
      <w:r w:rsidR="008D1367" w:rsidRPr="0001422A">
        <w:rPr>
          <w:rFonts w:ascii="Times New Roman" w:eastAsia="Times New Roman" w:hAnsi="Times New Roman"/>
          <w:lang w:eastAsia="en-US"/>
        </w:rPr>
        <w:t xml:space="preserve">începând cu data de </w:t>
      </w:r>
      <w:r w:rsidR="008D1367" w:rsidRPr="0001422A">
        <w:rPr>
          <w:rFonts w:ascii="Times New Roman" w:eastAsia="Times New Roman" w:hAnsi="Times New Roman"/>
          <w:b/>
          <w:i/>
          <w:lang w:eastAsia="en-US"/>
        </w:rPr>
        <w:t>01 ianuarie 20</w:t>
      </w:r>
      <w:r w:rsidR="009D43E1">
        <w:rPr>
          <w:rFonts w:ascii="Times New Roman" w:eastAsia="Times New Roman" w:hAnsi="Times New Roman"/>
          <w:b/>
          <w:i/>
          <w:lang w:eastAsia="en-US"/>
        </w:rPr>
        <w:t>2</w:t>
      </w:r>
      <w:r w:rsidR="00F42AB6">
        <w:rPr>
          <w:rFonts w:ascii="Times New Roman" w:eastAsia="Times New Roman" w:hAnsi="Times New Roman"/>
          <w:b/>
          <w:i/>
          <w:lang w:eastAsia="en-US"/>
        </w:rPr>
        <w:t>1</w:t>
      </w:r>
      <w:r w:rsidR="008D1367" w:rsidRPr="00B06B5F">
        <w:rPr>
          <w:rFonts w:ascii="Times New Roman" w:eastAsia="Times New Roman" w:hAnsi="Times New Roman"/>
          <w:lang w:eastAsia="en-US"/>
        </w:rPr>
        <w:t>.</w:t>
      </w:r>
    </w:p>
    <w:p w14:paraId="06BF5FB1" w14:textId="0B37825B" w:rsidR="00DB1BCC" w:rsidRDefault="00DB1BCC" w:rsidP="009D43E1">
      <w:pPr>
        <w:widowControl w:val="0"/>
        <w:spacing w:line="276" w:lineRule="auto"/>
        <w:ind w:firstLine="567"/>
        <w:jc w:val="both"/>
        <w:rPr>
          <w:rFonts w:ascii="Times New Roman" w:hAnsi="Times New Roman"/>
          <w:bCs/>
        </w:rPr>
      </w:pPr>
      <w:r w:rsidRPr="00093FAF">
        <w:rPr>
          <w:rFonts w:ascii="Times New Roman" w:hAnsi="Times New Roman"/>
          <w:b/>
          <w:bCs/>
        </w:rPr>
        <w:t>(2)</w:t>
      </w:r>
      <w:r>
        <w:rPr>
          <w:rFonts w:ascii="Times New Roman" w:hAnsi="Times New Roman"/>
          <w:bCs/>
        </w:rPr>
        <w:t xml:space="preserve"> La aceeași dată își înc</w:t>
      </w:r>
      <w:r w:rsidR="000A08A7">
        <w:rPr>
          <w:rFonts w:ascii="Times New Roman" w:hAnsi="Times New Roman"/>
          <w:bCs/>
        </w:rPr>
        <w:t>etează aplicabilitatea</w:t>
      </w:r>
      <w:r w:rsidR="00FB073A">
        <w:rPr>
          <w:rFonts w:ascii="Times New Roman" w:hAnsi="Times New Roman"/>
          <w:bCs/>
        </w:rPr>
        <w:t xml:space="preserve"> </w:t>
      </w:r>
      <w:r w:rsidR="006502F3">
        <w:rPr>
          <w:rFonts w:ascii="Times New Roman" w:hAnsi="Times New Roman"/>
          <w:bCs/>
        </w:rPr>
        <w:t>Hotărârea</w:t>
      </w:r>
      <w:r>
        <w:rPr>
          <w:rFonts w:ascii="Times New Roman" w:hAnsi="Times New Roman"/>
          <w:bCs/>
        </w:rPr>
        <w:t xml:space="preserve"> </w:t>
      </w:r>
      <w:r w:rsidRPr="00093FAF">
        <w:rPr>
          <w:rFonts w:ascii="Times New Roman" w:hAnsi="Times New Roman"/>
          <w:bCs/>
        </w:rPr>
        <w:t>Consiliului UNB</w:t>
      </w:r>
      <w:r>
        <w:rPr>
          <w:rFonts w:ascii="Times New Roman" w:hAnsi="Times New Roman"/>
          <w:bCs/>
        </w:rPr>
        <w:t xml:space="preserve">R nr. </w:t>
      </w:r>
      <w:r w:rsidR="00874F4A">
        <w:rPr>
          <w:rFonts w:ascii="Times New Roman" w:hAnsi="Times New Roman"/>
          <w:bCs/>
        </w:rPr>
        <w:t>72/13.04.2020</w:t>
      </w:r>
      <w:r w:rsidR="009D43E1">
        <w:rPr>
          <w:rFonts w:ascii="Times New Roman" w:hAnsi="Times New Roman"/>
          <w:bCs/>
        </w:rPr>
        <w:t>.</w:t>
      </w:r>
    </w:p>
    <w:p w14:paraId="76C6AC70" w14:textId="77777777" w:rsidR="008D1367" w:rsidRDefault="008D1367" w:rsidP="009D43E1">
      <w:pPr>
        <w:widowControl w:val="0"/>
        <w:spacing w:line="276" w:lineRule="auto"/>
        <w:ind w:left="100" w:firstLine="709"/>
        <w:jc w:val="both"/>
        <w:rPr>
          <w:rFonts w:ascii="Times New Roman" w:eastAsia="Times New Roman" w:hAnsi="Times New Roman"/>
          <w:lang w:eastAsia="en-US"/>
        </w:rPr>
      </w:pPr>
    </w:p>
    <w:p w14:paraId="3ED24C29" w14:textId="67FD5834" w:rsidR="008D1367" w:rsidRDefault="008D1367" w:rsidP="009D43E1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/>
          <w:lang w:eastAsia="en-US"/>
        </w:rPr>
      </w:pPr>
      <w:r w:rsidRPr="008D1367">
        <w:rPr>
          <w:rFonts w:ascii="Times New Roman" w:eastAsia="Times New Roman" w:hAnsi="Times New Roman"/>
          <w:b/>
          <w:lang w:eastAsia="en-US"/>
        </w:rPr>
        <w:t>Art. 3</w:t>
      </w:r>
      <w:r>
        <w:rPr>
          <w:rFonts w:ascii="Times New Roman" w:eastAsia="Times New Roman" w:hAnsi="Times New Roman"/>
          <w:lang w:eastAsia="en-US"/>
        </w:rPr>
        <w:t xml:space="preserve"> </w:t>
      </w:r>
      <w:r w:rsidRPr="00403B00">
        <w:rPr>
          <w:rFonts w:ascii="Times New Roman" w:hAnsi="Times New Roman"/>
          <w:b/>
          <w:bCs/>
        </w:rPr>
        <w:t>–</w:t>
      </w:r>
      <w:r>
        <w:rPr>
          <w:rFonts w:ascii="Times New Roman" w:hAnsi="Times New Roman"/>
          <w:b/>
          <w:bCs/>
        </w:rPr>
        <w:t xml:space="preserve"> </w:t>
      </w:r>
      <w:r w:rsidRPr="006502F3">
        <w:rPr>
          <w:rFonts w:ascii="Times New Roman" w:hAnsi="Times New Roman"/>
          <w:b/>
          <w:bCs/>
        </w:rPr>
        <w:t>(1)</w:t>
      </w:r>
      <w:r>
        <w:rPr>
          <w:rFonts w:ascii="Times New Roman" w:hAnsi="Times New Roman"/>
          <w:b/>
          <w:bCs/>
        </w:rPr>
        <w:t xml:space="preserve"> </w:t>
      </w:r>
      <w:r w:rsidRPr="00B06B5F">
        <w:rPr>
          <w:rFonts w:ascii="Times New Roman" w:eastAsia="Times New Roman" w:hAnsi="Times New Roman"/>
          <w:lang w:eastAsia="en-US"/>
        </w:rPr>
        <w:t>Prezenta hotărâre se comunică</w:t>
      </w:r>
      <w:r w:rsidR="009D43E1">
        <w:rPr>
          <w:rFonts w:ascii="Times New Roman" w:eastAsia="Times New Roman" w:hAnsi="Times New Roman"/>
          <w:lang w:eastAsia="en-US"/>
        </w:rPr>
        <w:t xml:space="preserve"> </w:t>
      </w:r>
      <w:r w:rsidR="00F71649">
        <w:rPr>
          <w:rFonts w:ascii="Times New Roman" w:eastAsia="Times New Roman" w:hAnsi="Times New Roman"/>
          <w:lang w:eastAsia="en-US"/>
        </w:rPr>
        <w:t>C</w:t>
      </w:r>
      <w:r w:rsidR="009D43E1">
        <w:rPr>
          <w:rFonts w:ascii="Times New Roman" w:eastAsia="Times New Roman" w:hAnsi="Times New Roman"/>
          <w:lang w:eastAsia="en-US"/>
        </w:rPr>
        <w:t xml:space="preserve">onsiliului UNBR, </w:t>
      </w:r>
      <w:r w:rsidRPr="00B06B5F">
        <w:rPr>
          <w:rFonts w:ascii="Times New Roman" w:eastAsia="Times New Roman" w:hAnsi="Times New Roman"/>
          <w:lang w:eastAsia="en-US"/>
        </w:rPr>
        <w:t xml:space="preserve">C.A.A. şi </w:t>
      </w:r>
      <w:r>
        <w:rPr>
          <w:rFonts w:ascii="Times New Roman" w:eastAsia="Times New Roman" w:hAnsi="Times New Roman"/>
          <w:lang w:eastAsia="en-US"/>
        </w:rPr>
        <w:t>b</w:t>
      </w:r>
      <w:r w:rsidRPr="00B06B5F">
        <w:rPr>
          <w:rFonts w:ascii="Times New Roman" w:eastAsia="Times New Roman" w:hAnsi="Times New Roman"/>
          <w:lang w:eastAsia="en-US"/>
        </w:rPr>
        <w:t>arourilor prin poșt</w:t>
      </w:r>
      <w:r w:rsidR="00F71649">
        <w:rPr>
          <w:rFonts w:ascii="Times New Roman" w:eastAsia="Times New Roman" w:hAnsi="Times New Roman"/>
          <w:lang w:eastAsia="en-US"/>
        </w:rPr>
        <w:t>ă</w:t>
      </w:r>
      <w:r w:rsidRPr="00B06B5F">
        <w:rPr>
          <w:rFonts w:ascii="Times New Roman" w:eastAsia="Times New Roman" w:hAnsi="Times New Roman"/>
          <w:lang w:eastAsia="en-US"/>
        </w:rPr>
        <w:t xml:space="preserve"> electronică şi se publică pe website-ul </w:t>
      </w:r>
      <w:hyperlink r:id="rId7">
        <w:r w:rsidRPr="00B06B5F">
          <w:rPr>
            <w:rFonts w:ascii="Times New Roman" w:eastAsia="Times New Roman" w:hAnsi="Times New Roman"/>
            <w:color w:val="0000FF"/>
            <w:u w:val="single"/>
            <w:lang w:eastAsia="en-US"/>
          </w:rPr>
          <w:t>www.unbr.ro</w:t>
        </w:r>
      </w:hyperlink>
      <w:r w:rsidRPr="00B06B5F">
        <w:rPr>
          <w:rFonts w:ascii="Times New Roman" w:eastAsia="Times New Roman" w:hAnsi="Times New Roman"/>
          <w:lang w:eastAsia="en-US"/>
        </w:rPr>
        <w:t>.</w:t>
      </w:r>
    </w:p>
    <w:p w14:paraId="24C083F5" w14:textId="77777777" w:rsidR="008D1367" w:rsidRPr="00B06B5F" w:rsidRDefault="008D1367" w:rsidP="009D43E1">
      <w:pPr>
        <w:widowControl w:val="0"/>
        <w:spacing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en-US"/>
        </w:rPr>
      </w:pPr>
      <w:r w:rsidRPr="006502F3">
        <w:rPr>
          <w:rFonts w:ascii="Times New Roman" w:eastAsia="Times New Roman" w:hAnsi="Times New Roman"/>
          <w:b/>
          <w:lang w:eastAsia="en-US"/>
        </w:rPr>
        <w:t>(2)</w:t>
      </w:r>
      <w:r>
        <w:rPr>
          <w:rFonts w:ascii="Times New Roman" w:eastAsia="Times New Roman" w:hAnsi="Times New Roman"/>
          <w:lang w:eastAsia="en-US"/>
        </w:rPr>
        <w:t xml:space="preserve"> </w:t>
      </w:r>
      <w:r w:rsidRPr="00B06B5F">
        <w:rPr>
          <w:rFonts w:ascii="Times New Roman" w:eastAsia="Times New Roman" w:hAnsi="Times New Roman"/>
          <w:lang w:eastAsia="en-US"/>
        </w:rPr>
        <w:t>Barourile vor asigura publicitatea hotărârii pe raza teritorială de competență</w:t>
      </w:r>
      <w:r w:rsidRPr="00B06B5F">
        <w:rPr>
          <w:rFonts w:ascii="Arial" w:eastAsia="Times New Roman" w:hAnsi="Arial" w:cs="Arial"/>
          <w:sz w:val="28"/>
          <w:szCs w:val="28"/>
          <w:lang w:eastAsia="en-US"/>
        </w:rPr>
        <w:t xml:space="preserve">. </w:t>
      </w:r>
    </w:p>
    <w:p w14:paraId="0893174A" w14:textId="77777777" w:rsidR="008D1367" w:rsidRDefault="008D1367" w:rsidP="009D43E1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/>
          <w:lang w:eastAsia="en-US"/>
        </w:rPr>
      </w:pPr>
    </w:p>
    <w:p w14:paraId="0DF117BA" w14:textId="5DE7954E" w:rsidR="008D1367" w:rsidRPr="00B06B5F" w:rsidRDefault="008D1367" w:rsidP="009D43E1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/>
          <w:lang w:eastAsia="en-US"/>
        </w:rPr>
      </w:pPr>
      <w:r w:rsidRPr="00B06B5F">
        <w:rPr>
          <w:rFonts w:ascii="Times New Roman" w:eastAsia="Times New Roman" w:hAnsi="Times New Roman"/>
          <w:b/>
          <w:lang w:eastAsia="en-US"/>
        </w:rPr>
        <w:t xml:space="preserve">Art. 4. </w:t>
      </w:r>
      <w:r w:rsidRPr="00403B00">
        <w:rPr>
          <w:rFonts w:ascii="Times New Roman" w:hAnsi="Times New Roman"/>
          <w:b/>
          <w:bCs/>
        </w:rPr>
        <w:t>–</w:t>
      </w:r>
      <w:r>
        <w:rPr>
          <w:rFonts w:ascii="Times New Roman" w:hAnsi="Times New Roman"/>
          <w:b/>
          <w:bCs/>
        </w:rPr>
        <w:t xml:space="preserve"> </w:t>
      </w:r>
      <w:r w:rsidRPr="00B06B5F">
        <w:rPr>
          <w:rFonts w:ascii="Times New Roman" w:eastAsia="Times New Roman" w:hAnsi="Times New Roman"/>
          <w:lang w:eastAsia="en-US"/>
        </w:rPr>
        <w:t>Consiliul C.A.A., filialele C.A.A. şi b</w:t>
      </w:r>
      <w:r w:rsidR="00F71649">
        <w:rPr>
          <w:rFonts w:ascii="Times New Roman" w:eastAsia="Times New Roman" w:hAnsi="Times New Roman"/>
          <w:lang w:eastAsia="en-US"/>
        </w:rPr>
        <w:t xml:space="preserve">arourile vor lua măsuri pentru </w:t>
      </w:r>
      <w:r w:rsidRPr="00B06B5F">
        <w:rPr>
          <w:rFonts w:ascii="Times New Roman" w:eastAsia="Times New Roman" w:hAnsi="Times New Roman"/>
          <w:lang w:eastAsia="en-US"/>
        </w:rPr>
        <w:t xml:space="preserve">ducerea la îndeplinire a prezentei decizii. </w:t>
      </w:r>
    </w:p>
    <w:p w14:paraId="7527E3A1" w14:textId="758A4569" w:rsidR="00A53550" w:rsidRDefault="00A53550" w:rsidP="009D43E1">
      <w:pPr>
        <w:widowControl w:val="0"/>
        <w:spacing w:line="276" w:lineRule="auto"/>
        <w:ind w:left="100" w:firstLine="709"/>
        <w:jc w:val="both"/>
        <w:rPr>
          <w:rFonts w:ascii="Times New Roman" w:eastAsia="Times New Roman" w:hAnsi="Times New Roman"/>
          <w:lang w:val="it-IT" w:eastAsia="en-US"/>
        </w:rPr>
      </w:pPr>
    </w:p>
    <w:p w14:paraId="5495B599" w14:textId="0E648115" w:rsidR="009D43E1" w:rsidRDefault="009D43E1" w:rsidP="009D43E1">
      <w:pPr>
        <w:widowControl w:val="0"/>
        <w:spacing w:line="276" w:lineRule="auto"/>
        <w:ind w:left="100" w:firstLine="709"/>
        <w:jc w:val="both"/>
        <w:rPr>
          <w:rFonts w:ascii="Times New Roman" w:eastAsia="Times New Roman" w:hAnsi="Times New Roman"/>
          <w:lang w:val="it-IT" w:eastAsia="en-US"/>
        </w:rPr>
      </w:pPr>
    </w:p>
    <w:p w14:paraId="16548603" w14:textId="77777777" w:rsidR="00A53550" w:rsidRPr="009F77A5" w:rsidRDefault="00A53550" w:rsidP="009D43E1">
      <w:pPr>
        <w:widowControl w:val="0"/>
        <w:spacing w:line="276" w:lineRule="auto"/>
        <w:ind w:left="100" w:firstLine="709"/>
        <w:jc w:val="both"/>
        <w:rPr>
          <w:rFonts w:ascii="Times New Roman" w:eastAsia="Times New Roman" w:hAnsi="Times New Roman"/>
          <w:lang w:val="it-IT" w:eastAsia="en-US"/>
        </w:rPr>
      </w:pPr>
    </w:p>
    <w:p w14:paraId="43A5D192" w14:textId="77777777" w:rsidR="000F101C" w:rsidRPr="0001422A" w:rsidRDefault="000F101C" w:rsidP="009D43E1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659585" w14:textId="77777777" w:rsidR="00A53550" w:rsidRPr="0001422A" w:rsidRDefault="00A53550" w:rsidP="009D43E1">
      <w:pPr>
        <w:spacing w:line="276" w:lineRule="auto"/>
        <w:ind w:right="2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1422A">
        <w:rPr>
          <w:rFonts w:ascii="Times New Roman" w:eastAsia="Times New Roman" w:hAnsi="Times New Roman"/>
          <w:b/>
          <w:sz w:val="28"/>
          <w:szCs w:val="28"/>
          <w:lang w:eastAsia="en-US"/>
        </w:rPr>
        <w:t>C O N S I L I U L     U. N. B. R.</w:t>
      </w:r>
    </w:p>
    <w:p w14:paraId="1325F419" w14:textId="77777777" w:rsidR="003D59AA" w:rsidRPr="0001422A" w:rsidRDefault="003D59AA" w:rsidP="009D43E1">
      <w:pPr>
        <w:spacing w:line="276" w:lineRule="auto"/>
        <w:ind w:right="29"/>
        <w:jc w:val="center"/>
        <w:rPr>
          <w:rFonts w:ascii="Times New Roman" w:hAnsi="Times New Roman"/>
          <w:b/>
          <w:sz w:val="28"/>
          <w:szCs w:val="28"/>
        </w:rPr>
      </w:pPr>
    </w:p>
    <w:sectPr w:rsidR="003D59AA" w:rsidRPr="0001422A" w:rsidSect="00F42AB6">
      <w:footerReference w:type="even" r:id="rId8"/>
      <w:footerReference w:type="default" r:id="rId9"/>
      <w:pgSz w:w="11909" w:h="16834" w:code="9"/>
      <w:pgMar w:top="993" w:right="994" w:bottom="360" w:left="1418" w:header="706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6171E" w14:textId="77777777" w:rsidR="008A761F" w:rsidRDefault="008A761F">
      <w:r>
        <w:separator/>
      </w:r>
    </w:p>
  </w:endnote>
  <w:endnote w:type="continuationSeparator" w:id="0">
    <w:p w14:paraId="7088E4DD" w14:textId="77777777" w:rsidR="008A761F" w:rsidRDefault="008A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01081" w14:textId="77777777" w:rsidR="000A6091" w:rsidRDefault="000A6091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CB60753" w14:textId="77777777" w:rsidR="000A6091" w:rsidRDefault="000A6091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6664243"/>
      <w:docPartObj>
        <w:docPartGallery w:val="Page Numbers (Bottom of Page)"/>
        <w:docPartUnique/>
      </w:docPartObj>
    </w:sdtPr>
    <w:sdtEndPr/>
    <w:sdtContent>
      <w:p w14:paraId="29407B1E" w14:textId="45213B6A" w:rsidR="009D43E1" w:rsidRDefault="009D43E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649">
          <w:rPr>
            <w:noProof/>
          </w:rPr>
          <w:t>2</w:t>
        </w:r>
        <w:r>
          <w:fldChar w:fldCharType="end"/>
        </w:r>
      </w:p>
    </w:sdtContent>
  </w:sdt>
  <w:p w14:paraId="43B1FDA1" w14:textId="77777777" w:rsidR="000A6091" w:rsidRDefault="000A6091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22253" w14:textId="77777777" w:rsidR="008A761F" w:rsidRDefault="008A761F">
      <w:r>
        <w:separator/>
      </w:r>
    </w:p>
  </w:footnote>
  <w:footnote w:type="continuationSeparator" w:id="0">
    <w:p w14:paraId="418FC6FC" w14:textId="77777777" w:rsidR="008A761F" w:rsidRDefault="008A7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B46"/>
    <w:rsid w:val="00000904"/>
    <w:rsid w:val="00001F8D"/>
    <w:rsid w:val="0000273B"/>
    <w:rsid w:val="0000289E"/>
    <w:rsid w:val="00007ED9"/>
    <w:rsid w:val="0001422A"/>
    <w:rsid w:val="000155C0"/>
    <w:rsid w:val="000248D7"/>
    <w:rsid w:val="0004512A"/>
    <w:rsid w:val="000526BF"/>
    <w:rsid w:val="000923B3"/>
    <w:rsid w:val="00093FBB"/>
    <w:rsid w:val="000A08A7"/>
    <w:rsid w:val="000A4B0D"/>
    <w:rsid w:val="000A6091"/>
    <w:rsid w:val="000A6C37"/>
    <w:rsid w:val="000B407D"/>
    <w:rsid w:val="000B46B3"/>
    <w:rsid w:val="000F101C"/>
    <w:rsid w:val="00112BAF"/>
    <w:rsid w:val="00120153"/>
    <w:rsid w:val="001408BB"/>
    <w:rsid w:val="00140D22"/>
    <w:rsid w:val="00150663"/>
    <w:rsid w:val="00153D29"/>
    <w:rsid w:val="00162E87"/>
    <w:rsid w:val="00170AC7"/>
    <w:rsid w:val="00181D1A"/>
    <w:rsid w:val="001D345A"/>
    <w:rsid w:val="001E3AB1"/>
    <w:rsid w:val="00201289"/>
    <w:rsid w:val="00204634"/>
    <w:rsid w:val="00214276"/>
    <w:rsid w:val="00214FE5"/>
    <w:rsid w:val="002225EA"/>
    <w:rsid w:val="0023457E"/>
    <w:rsid w:val="00236627"/>
    <w:rsid w:val="00247E84"/>
    <w:rsid w:val="00251A8C"/>
    <w:rsid w:val="002702F6"/>
    <w:rsid w:val="002776D0"/>
    <w:rsid w:val="00296BC7"/>
    <w:rsid w:val="002B2D95"/>
    <w:rsid w:val="002D464E"/>
    <w:rsid w:val="002E1B7C"/>
    <w:rsid w:val="002E6792"/>
    <w:rsid w:val="002E7D03"/>
    <w:rsid w:val="00312AC7"/>
    <w:rsid w:val="00335BE1"/>
    <w:rsid w:val="00365870"/>
    <w:rsid w:val="00380430"/>
    <w:rsid w:val="00383AF6"/>
    <w:rsid w:val="003D5944"/>
    <w:rsid w:val="003D59AA"/>
    <w:rsid w:val="003E6A01"/>
    <w:rsid w:val="003F1431"/>
    <w:rsid w:val="00402469"/>
    <w:rsid w:val="00403B00"/>
    <w:rsid w:val="0040405C"/>
    <w:rsid w:val="00412389"/>
    <w:rsid w:val="00414831"/>
    <w:rsid w:val="00460436"/>
    <w:rsid w:val="00480505"/>
    <w:rsid w:val="004A0F8E"/>
    <w:rsid w:val="004A1D70"/>
    <w:rsid w:val="004C402B"/>
    <w:rsid w:val="004C7D8F"/>
    <w:rsid w:val="004D254B"/>
    <w:rsid w:val="0050288E"/>
    <w:rsid w:val="00503749"/>
    <w:rsid w:val="00505143"/>
    <w:rsid w:val="005059B7"/>
    <w:rsid w:val="005242D3"/>
    <w:rsid w:val="00524BA0"/>
    <w:rsid w:val="00530CEF"/>
    <w:rsid w:val="00551332"/>
    <w:rsid w:val="0055552F"/>
    <w:rsid w:val="005C15BE"/>
    <w:rsid w:val="005C3B2A"/>
    <w:rsid w:val="005C6270"/>
    <w:rsid w:val="005D06F2"/>
    <w:rsid w:val="005D12DF"/>
    <w:rsid w:val="005D5364"/>
    <w:rsid w:val="005E3278"/>
    <w:rsid w:val="005E35B7"/>
    <w:rsid w:val="005E4AC3"/>
    <w:rsid w:val="005E6B5A"/>
    <w:rsid w:val="00600708"/>
    <w:rsid w:val="006040D7"/>
    <w:rsid w:val="00614D0C"/>
    <w:rsid w:val="00617147"/>
    <w:rsid w:val="006341ED"/>
    <w:rsid w:val="006350D5"/>
    <w:rsid w:val="0063571C"/>
    <w:rsid w:val="006360FF"/>
    <w:rsid w:val="0064399D"/>
    <w:rsid w:val="006502F3"/>
    <w:rsid w:val="00684554"/>
    <w:rsid w:val="006A5E27"/>
    <w:rsid w:val="006B246B"/>
    <w:rsid w:val="006D10FA"/>
    <w:rsid w:val="006D3653"/>
    <w:rsid w:val="006D674D"/>
    <w:rsid w:val="006E139C"/>
    <w:rsid w:val="006E33A1"/>
    <w:rsid w:val="006E3578"/>
    <w:rsid w:val="006E4CC4"/>
    <w:rsid w:val="0070523B"/>
    <w:rsid w:val="00706223"/>
    <w:rsid w:val="00736C4F"/>
    <w:rsid w:val="007379F6"/>
    <w:rsid w:val="00771074"/>
    <w:rsid w:val="00775A81"/>
    <w:rsid w:val="007929FF"/>
    <w:rsid w:val="00796378"/>
    <w:rsid w:val="007B2387"/>
    <w:rsid w:val="007C2E49"/>
    <w:rsid w:val="007E2B38"/>
    <w:rsid w:val="007E4017"/>
    <w:rsid w:val="007F3368"/>
    <w:rsid w:val="00812D8F"/>
    <w:rsid w:val="00813681"/>
    <w:rsid w:val="008279FB"/>
    <w:rsid w:val="00830F87"/>
    <w:rsid w:val="00874F4A"/>
    <w:rsid w:val="0089193A"/>
    <w:rsid w:val="008A50AC"/>
    <w:rsid w:val="008A761F"/>
    <w:rsid w:val="008B6D37"/>
    <w:rsid w:val="008D1367"/>
    <w:rsid w:val="008D74D4"/>
    <w:rsid w:val="008F3A13"/>
    <w:rsid w:val="008F4669"/>
    <w:rsid w:val="009470DD"/>
    <w:rsid w:val="00947510"/>
    <w:rsid w:val="00961997"/>
    <w:rsid w:val="00963E2F"/>
    <w:rsid w:val="009677F4"/>
    <w:rsid w:val="009A0094"/>
    <w:rsid w:val="009A14FE"/>
    <w:rsid w:val="009B5F39"/>
    <w:rsid w:val="009C2611"/>
    <w:rsid w:val="009D26ED"/>
    <w:rsid w:val="009D43E1"/>
    <w:rsid w:val="009D78D5"/>
    <w:rsid w:val="009F09E3"/>
    <w:rsid w:val="009F77A5"/>
    <w:rsid w:val="00A23240"/>
    <w:rsid w:val="00A2405A"/>
    <w:rsid w:val="00A26D4C"/>
    <w:rsid w:val="00A40421"/>
    <w:rsid w:val="00A43C54"/>
    <w:rsid w:val="00A53550"/>
    <w:rsid w:val="00A710DD"/>
    <w:rsid w:val="00AA2D47"/>
    <w:rsid w:val="00AC5628"/>
    <w:rsid w:val="00AD662B"/>
    <w:rsid w:val="00AD6F0C"/>
    <w:rsid w:val="00AD6F63"/>
    <w:rsid w:val="00AE0505"/>
    <w:rsid w:val="00AF5703"/>
    <w:rsid w:val="00B01B62"/>
    <w:rsid w:val="00B06B5F"/>
    <w:rsid w:val="00B1565B"/>
    <w:rsid w:val="00B23B56"/>
    <w:rsid w:val="00B314E7"/>
    <w:rsid w:val="00B43774"/>
    <w:rsid w:val="00B629F5"/>
    <w:rsid w:val="00B67A11"/>
    <w:rsid w:val="00B97FF0"/>
    <w:rsid w:val="00BA2652"/>
    <w:rsid w:val="00BB070D"/>
    <w:rsid w:val="00BB59A8"/>
    <w:rsid w:val="00BD6200"/>
    <w:rsid w:val="00BE6568"/>
    <w:rsid w:val="00C22DD0"/>
    <w:rsid w:val="00C34AF7"/>
    <w:rsid w:val="00C42EAB"/>
    <w:rsid w:val="00C50AC6"/>
    <w:rsid w:val="00C63983"/>
    <w:rsid w:val="00C65BBF"/>
    <w:rsid w:val="00C704B6"/>
    <w:rsid w:val="00C747C1"/>
    <w:rsid w:val="00C97639"/>
    <w:rsid w:val="00CA7DE1"/>
    <w:rsid w:val="00CC00E5"/>
    <w:rsid w:val="00CE5C8F"/>
    <w:rsid w:val="00D071EF"/>
    <w:rsid w:val="00D151D9"/>
    <w:rsid w:val="00D20D3F"/>
    <w:rsid w:val="00D2236C"/>
    <w:rsid w:val="00D23254"/>
    <w:rsid w:val="00D355D3"/>
    <w:rsid w:val="00D67BA5"/>
    <w:rsid w:val="00D744D5"/>
    <w:rsid w:val="00D86661"/>
    <w:rsid w:val="00D86914"/>
    <w:rsid w:val="00DA72FB"/>
    <w:rsid w:val="00DB1BCC"/>
    <w:rsid w:val="00DE072C"/>
    <w:rsid w:val="00DF3B31"/>
    <w:rsid w:val="00DF6E84"/>
    <w:rsid w:val="00E078D4"/>
    <w:rsid w:val="00E1513A"/>
    <w:rsid w:val="00E15F07"/>
    <w:rsid w:val="00E45DD5"/>
    <w:rsid w:val="00E94A78"/>
    <w:rsid w:val="00EC7034"/>
    <w:rsid w:val="00ED4911"/>
    <w:rsid w:val="00ED5695"/>
    <w:rsid w:val="00ED7352"/>
    <w:rsid w:val="00EE069A"/>
    <w:rsid w:val="00EF1AD5"/>
    <w:rsid w:val="00EF7034"/>
    <w:rsid w:val="00F038BD"/>
    <w:rsid w:val="00F35B46"/>
    <w:rsid w:val="00F42AB6"/>
    <w:rsid w:val="00F477C2"/>
    <w:rsid w:val="00F57AB3"/>
    <w:rsid w:val="00F60BB4"/>
    <w:rsid w:val="00F66A80"/>
    <w:rsid w:val="00F71649"/>
    <w:rsid w:val="00F924A3"/>
    <w:rsid w:val="00F9745B"/>
    <w:rsid w:val="00FA2A77"/>
    <w:rsid w:val="00FB073A"/>
    <w:rsid w:val="00FC39F9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6617996"/>
  <w15:docId w15:val="{0DE4579F-13F7-4B00-AED8-0B475E88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3E1"/>
    <w:rPr>
      <w:rFonts w:ascii="Trebuchet MS" w:hAnsi="Trebuchet M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Grizli777</Company>
  <LinksUpToDate>false</LinksUpToDate>
  <CharactersWithSpaces>3198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Daniel Cismaru</cp:lastModifiedBy>
  <cp:revision>7</cp:revision>
  <cp:lastPrinted>2015-12-14T09:03:00Z</cp:lastPrinted>
  <dcterms:created xsi:type="dcterms:W3CDTF">2021-02-02T14:09:00Z</dcterms:created>
  <dcterms:modified xsi:type="dcterms:W3CDTF">2021-02-03T13:05:00Z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