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2D0A0" w14:textId="14A09337" w:rsidR="008E1A5D" w:rsidRPr="009D7E50" w:rsidRDefault="008E1A5D" w:rsidP="004F1DBD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ro-RO"/>
        </w:rPr>
      </w:pPr>
      <w:r w:rsidRPr="009D7E50">
        <w:rPr>
          <w:rFonts w:cstheme="minorHAnsi"/>
          <w:b/>
          <w:bCs/>
          <w:sz w:val="24"/>
          <w:szCs w:val="24"/>
          <w:lang w:val="ro-RO"/>
        </w:rPr>
        <w:t xml:space="preserve">Comisia Permanentă a UNBR: </w:t>
      </w:r>
      <w:r w:rsidR="007C1B38" w:rsidRPr="009D7E50">
        <w:rPr>
          <w:rFonts w:cstheme="minorHAnsi"/>
          <w:b/>
          <w:bCs/>
          <w:sz w:val="24"/>
          <w:szCs w:val="24"/>
          <w:lang w:val="ro-RO"/>
        </w:rPr>
        <w:t>„</w:t>
      </w:r>
      <w:r w:rsidRPr="009D7E50">
        <w:rPr>
          <w:rFonts w:cstheme="minorHAnsi"/>
          <w:b/>
          <w:bCs/>
          <w:sz w:val="24"/>
          <w:szCs w:val="24"/>
          <w:lang w:val="ro-RO"/>
        </w:rPr>
        <w:t xml:space="preserve">Decizia instanței în dosarul </w:t>
      </w:r>
      <w:r w:rsidR="00B22506" w:rsidRPr="009D7E50">
        <w:rPr>
          <w:rFonts w:cstheme="minorHAnsi"/>
          <w:i/>
          <w:iCs/>
          <w:sz w:val="24"/>
          <w:szCs w:val="24"/>
          <w:lang w:val="ro-RO"/>
        </w:rPr>
        <w:t>Ferma Băneasa</w:t>
      </w:r>
      <w:r w:rsidR="00B22506" w:rsidRPr="009D7E50">
        <w:rPr>
          <w:rFonts w:cstheme="minorHAnsi"/>
          <w:sz w:val="24"/>
          <w:szCs w:val="24"/>
          <w:lang w:val="ro-RO"/>
        </w:rPr>
        <w:t xml:space="preserve"> </w:t>
      </w:r>
      <w:r w:rsidRPr="009D7E50">
        <w:rPr>
          <w:rFonts w:cstheme="minorHAnsi"/>
          <w:b/>
          <w:bCs/>
          <w:sz w:val="24"/>
          <w:szCs w:val="24"/>
          <w:lang w:val="ro-RO"/>
        </w:rPr>
        <w:t>nu vizează cazul unui anume avocat, ci afectează profesia de avocat, apărarea cetățeanului,</w:t>
      </w:r>
      <w:r w:rsidR="007C1B38" w:rsidRPr="009D7E50">
        <w:rPr>
          <w:rFonts w:cstheme="minorHAnsi"/>
          <w:b/>
          <w:bCs/>
          <w:sz w:val="24"/>
          <w:szCs w:val="24"/>
          <w:lang w:val="ro-RO"/>
        </w:rPr>
        <w:t xml:space="preserve"> </w:t>
      </w:r>
      <w:r w:rsidRPr="009D7E50">
        <w:rPr>
          <w:rFonts w:cstheme="minorHAnsi"/>
          <w:b/>
          <w:bCs/>
          <w:sz w:val="24"/>
          <w:szCs w:val="24"/>
          <w:lang w:val="ro-RO"/>
        </w:rPr>
        <w:t>justiția și</w:t>
      </w:r>
      <w:r w:rsidR="007C1B38" w:rsidRPr="009D7E50">
        <w:rPr>
          <w:rFonts w:cstheme="minorHAnsi"/>
          <w:b/>
          <w:bCs/>
          <w:sz w:val="24"/>
          <w:szCs w:val="24"/>
          <w:lang w:val="ro-RO"/>
        </w:rPr>
        <w:t xml:space="preserve"> </w:t>
      </w:r>
      <w:r w:rsidRPr="009D7E50">
        <w:rPr>
          <w:rFonts w:cstheme="minorHAnsi"/>
          <w:b/>
          <w:bCs/>
          <w:sz w:val="24"/>
          <w:szCs w:val="24"/>
          <w:lang w:val="ro-RO"/>
        </w:rPr>
        <w:t>statul de drept”</w:t>
      </w:r>
    </w:p>
    <w:p w14:paraId="7846FA4D" w14:textId="77777777" w:rsidR="008E1A5D" w:rsidRPr="009D7E50" w:rsidRDefault="008E1A5D" w:rsidP="004F1DBD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40030FF8" w14:textId="336E9C5A" w:rsidR="00871C64" w:rsidRPr="009D7E50" w:rsidRDefault="00E316AA" w:rsidP="004F1DBD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9D7E50">
        <w:rPr>
          <w:rFonts w:cstheme="minorHAnsi"/>
          <w:sz w:val="24"/>
          <w:szCs w:val="24"/>
          <w:lang w:val="ro-RO"/>
        </w:rPr>
        <w:t>Comisia Permanentă a Uniunii Naționale a Barourilor din România (U.N.B.R.) s-a întrunit vineri, 9 aprilie 2021,</w:t>
      </w:r>
      <w:r w:rsidR="008E7F54" w:rsidRPr="009D7E50">
        <w:rPr>
          <w:rFonts w:cstheme="minorHAnsi"/>
          <w:sz w:val="24"/>
          <w:szCs w:val="24"/>
          <w:lang w:val="ro-RO"/>
        </w:rPr>
        <w:t xml:space="preserve"> alături de decani</w:t>
      </w:r>
      <w:r w:rsidR="00EB54F0" w:rsidRPr="009D7E50">
        <w:rPr>
          <w:rFonts w:cstheme="minorHAnsi"/>
          <w:sz w:val="24"/>
          <w:szCs w:val="24"/>
          <w:lang w:val="ro-RO"/>
        </w:rPr>
        <w:t>i</w:t>
      </w:r>
      <w:r w:rsidR="008E7F54" w:rsidRPr="009D7E50">
        <w:rPr>
          <w:rFonts w:cstheme="minorHAnsi"/>
          <w:sz w:val="24"/>
          <w:szCs w:val="24"/>
          <w:lang w:val="ro-RO"/>
        </w:rPr>
        <w:t xml:space="preserve"> barourilor</w:t>
      </w:r>
      <w:r w:rsidRPr="009D7E50">
        <w:rPr>
          <w:rFonts w:cstheme="minorHAnsi"/>
          <w:sz w:val="24"/>
          <w:szCs w:val="24"/>
          <w:lang w:val="ro-RO"/>
        </w:rPr>
        <w:t xml:space="preserve"> pentru a analiza impactul hotărârii judecătorești în dosarul </w:t>
      </w:r>
      <w:r w:rsidR="00B22506" w:rsidRPr="009D7E50">
        <w:rPr>
          <w:rFonts w:cstheme="minorHAnsi"/>
          <w:sz w:val="24"/>
          <w:szCs w:val="24"/>
          <w:lang w:val="ro-RO"/>
        </w:rPr>
        <w:t xml:space="preserve">„Ferma Băneasa” </w:t>
      </w:r>
      <w:r w:rsidRPr="009D7E50">
        <w:rPr>
          <w:rFonts w:cstheme="minorHAnsi"/>
          <w:sz w:val="24"/>
          <w:szCs w:val="24"/>
          <w:lang w:val="ro-RO"/>
        </w:rPr>
        <w:t xml:space="preserve">asupra independenței avocaților, asupra libertății de exercitare a profesiei și implicit </w:t>
      </w:r>
      <w:r w:rsidR="00F22330" w:rsidRPr="009D7E50">
        <w:rPr>
          <w:rFonts w:cstheme="minorHAnsi"/>
          <w:sz w:val="24"/>
          <w:szCs w:val="24"/>
          <w:lang w:val="ro-RO"/>
        </w:rPr>
        <w:t xml:space="preserve">asupra </w:t>
      </w:r>
      <w:r w:rsidRPr="009D7E50">
        <w:rPr>
          <w:rFonts w:cstheme="minorHAnsi"/>
          <w:sz w:val="24"/>
          <w:szCs w:val="24"/>
          <w:lang w:val="ro-RO"/>
        </w:rPr>
        <w:t>dreptului la apărare al cetățeanului</w:t>
      </w:r>
      <w:r w:rsidR="00F22330" w:rsidRPr="009D7E50">
        <w:rPr>
          <w:rFonts w:cstheme="minorHAnsi"/>
          <w:sz w:val="24"/>
          <w:szCs w:val="24"/>
          <w:lang w:val="ro-RO"/>
        </w:rPr>
        <w:t>.</w:t>
      </w:r>
    </w:p>
    <w:p w14:paraId="10019F8D" w14:textId="65CA6A55" w:rsidR="00257032" w:rsidRPr="009D7E50" w:rsidRDefault="00E316AA" w:rsidP="004F1DBD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9D7E50">
        <w:rPr>
          <w:rFonts w:cstheme="minorHAnsi"/>
          <w:sz w:val="24"/>
          <w:szCs w:val="24"/>
          <w:lang w:val="ro-RO"/>
        </w:rPr>
        <w:t xml:space="preserve">Membrii Comisiei au apreciat </w:t>
      </w:r>
      <w:r w:rsidR="00F22330" w:rsidRPr="009D7E50">
        <w:rPr>
          <w:rFonts w:cstheme="minorHAnsi"/>
          <w:sz w:val="24"/>
          <w:szCs w:val="24"/>
          <w:lang w:val="ro-RO"/>
        </w:rPr>
        <w:t xml:space="preserve">că modul de abordare </w:t>
      </w:r>
      <w:r w:rsidR="0092471F" w:rsidRPr="009D7E50">
        <w:rPr>
          <w:rFonts w:cstheme="minorHAnsi"/>
          <w:sz w:val="24"/>
          <w:szCs w:val="24"/>
          <w:lang w:val="ro-RO"/>
        </w:rPr>
        <w:t xml:space="preserve">prin calificarea </w:t>
      </w:r>
      <w:r w:rsidR="00F22330" w:rsidRPr="009D7E50">
        <w:rPr>
          <w:rFonts w:cstheme="minorHAnsi"/>
          <w:sz w:val="24"/>
          <w:szCs w:val="24"/>
          <w:lang w:val="ro-RO"/>
        </w:rPr>
        <w:t xml:space="preserve">ca </w:t>
      </w:r>
      <w:r w:rsidR="003E6DC3" w:rsidRPr="009D7E50">
        <w:rPr>
          <w:rFonts w:cstheme="minorHAnsi"/>
          <w:sz w:val="24"/>
          <w:szCs w:val="24"/>
          <w:lang w:val="ro-RO"/>
        </w:rPr>
        <w:t xml:space="preserve">infracțiuni a </w:t>
      </w:r>
      <w:r w:rsidR="00F22330" w:rsidRPr="009D7E50">
        <w:rPr>
          <w:rFonts w:cstheme="minorHAnsi"/>
          <w:sz w:val="24"/>
          <w:szCs w:val="24"/>
          <w:lang w:val="ro-RO"/>
        </w:rPr>
        <w:t>demersurilor făcute de avocați în consilierea și reprezentarea clienților lor</w:t>
      </w:r>
      <w:r w:rsidR="003E6DC3" w:rsidRPr="009D7E50">
        <w:rPr>
          <w:rFonts w:cstheme="minorHAnsi"/>
          <w:sz w:val="24"/>
          <w:szCs w:val="24"/>
          <w:lang w:val="ro-RO"/>
        </w:rPr>
        <w:t xml:space="preserve"> constituie un precedent periculos atât pentru profesie în general, cât și pentru viitorul statului de drept în România</w:t>
      </w:r>
      <w:r w:rsidR="00257032" w:rsidRPr="009D7E50">
        <w:rPr>
          <w:rFonts w:cstheme="minorHAnsi"/>
          <w:sz w:val="24"/>
          <w:szCs w:val="24"/>
          <w:lang w:val="ro-RO"/>
        </w:rPr>
        <w:t xml:space="preserve">. </w:t>
      </w:r>
    </w:p>
    <w:p w14:paraId="690CA0AA" w14:textId="1AAC01CA" w:rsidR="0092471F" w:rsidRPr="009D7E50" w:rsidRDefault="00257032" w:rsidP="004F1DBD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9D7E50">
        <w:rPr>
          <w:rFonts w:cstheme="minorHAnsi"/>
          <w:sz w:val="24"/>
          <w:szCs w:val="24"/>
          <w:lang w:val="ro-RO"/>
        </w:rPr>
        <w:t>Dreptul la apărare</w:t>
      </w:r>
      <w:r w:rsidR="00EB54F0" w:rsidRPr="009D7E50">
        <w:rPr>
          <w:rFonts w:cstheme="minorHAnsi"/>
          <w:sz w:val="24"/>
          <w:szCs w:val="24"/>
          <w:lang w:val="ro-RO"/>
        </w:rPr>
        <w:t>,</w:t>
      </w:r>
      <w:r w:rsidRPr="009D7E50">
        <w:rPr>
          <w:rFonts w:cstheme="minorHAnsi"/>
          <w:sz w:val="24"/>
          <w:szCs w:val="24"/>
          <w:lang w:val="ro-RO"/>
        </w:rPr>
        <w:t xml:space="preserve"> care aparține cetățenilor</w:t>
      </w:r>
      <w:r w:rsidR="00EB54F0" w:rsidRPr="009D7E50">
        <w:rPr>
          <w:rFonts w:cstheme="minorHAnsi"/>
          <w:sz w:val="24"/>
          <w:szCs w:val="24"/>
          <w:lang w:val="ro-RO"/>
        </w:rPr>
        <w:t>,</w:t>
      </w:r>
      <w:r w:rsidRPr="009D7E50">
        <w:rPr>
          <w:rFonts w:cstheme="minorHAnsi"/>
          <w:sz w:val="24"/>
          <w:szCs w:val="24"/>
          <w:lang w:val="ro-RO"/>
        </w:rPr>
        <w:t xml:space="preserve"> este profund afectat, atâta vreme cât avocații sunt</w:t>
      </w:r>
      <w:r w:rsidR="0092471F" w:rsidRPr="009D7E50">
        <w:rPr>
          <w:rFonts w:cstheme="minorHAnsi"/>
          <w:sz w:val="24"/>
          <w:szCs w:val="24"/>
          <w:lang w:val="ro-RO"/>
        </w:rPr>
        <w:t xml:space="preserve"> pasibili de a fi</w:t>
      </w:r>
      <w:r w:rsidRPr="009D7E50">
        <w:rPr>
          <w:rFonts w:cstheme="minorHAnsi"/>
          <w:sz w:val="24"/>
          <w:szCs w:val="24"/>
          <w:lang w:val="ro-RO"/>
        </w:rPr>
        <w:t xml:space="preserve"> acuzați și condamnați pentru că reprezintă clienți cu </w:t>
      </w:r>
      <w:r w:rsidR="00B22506" w:rsidRPr="009D7E50">
        <w:rPr>
          <w:rFonts w:cstheme="minorHAnsi"/>
          <w:sz w:val="24"/>
          <w:szCs w:val="24"/>
          <w:lang w:val="ro-RO"/>
        </w:rPr>
        <w:t>șanse neclare de câștig în ceea ce privește drepturile pretinse</w:t>
      </w:r>
      <w:r w:rsidR="004A77A2" w:rsidRPr="009D7E50">
        <w:rPr>
          <w:rFonts w:cstheme="minorHAnsi"/>
          <w:sz w:val="24"/>
          <w:szCs w:val="24"/>
          <w:lang w:val="ro-RO"/>
        </w:rPr>
        <w:t xml:space="preserve">, </w:t>
      </w:r>
      <w:r w:rsidR="0092471F" w:rsidRPr="009D7E50">
        <w:rPr>
          <w:rFonts w:cstheme="minorHAnsi"/>
          <w:sz w:val="24"/>
          <w:szCs w:val="24"/>
          <w:lang w:val="ro-RO"/>
        </w:rPr>
        <w:t>precum</w:t>
      </w:r>
      <w:r w:rsidR="004A77A2" w:rsidRPr="009D7E50">
        <w:rPr>
          <w:rFonts w:cstheme="minorHAnsi"/>
          <w:sz w:val="24"/>
          <w:szCs w:val="24"/>
          <w:lang w:val="ro-RO"/>
        </w:rPr>
        <w:t xml:space="preserve"> </w:t>
      </w:r>
      <w:r w:rsidR="0092471F" w:rsidRPr="009D7E50">
        <w:rPr>
          <w:rFonts w:cstheme="minorHAnsi"/>
          <w:sz w:val="24"/>
          <w:szCs w:val="24"/>
          <w:lang w:val="ro-RO"/>
        </w:rPr>
        <w:t>cvasitotalitatea</w:t>
      </w:r>
      <w:r w:rsidR="004A77A2" w:rsidRPr="009D7E50">
        <w:rPr>
          <w:rFonts w:cstheme="minorHAnsi"/>
          <w:sz w:val="24"/>
          <w:szCs w:val="24"/>
          <w:lang w:val="ro-RO"/>
        </w:rPr>
        <w:t xml:space="preserve"> drepturilor </w:t>
      </w:r>
      <w:r w:rsidR="005D0FEC" w:rsidRPr="009D7E50">
        <w:rPr>
          <w:rFonts w:cstheme="minorHAnsi"/>
          <w:sz w:val="24"/>
          <w:szCs w:val="24"/>
          <w:lang w:val="ro-RO"/>
        </w:rPr>
        <w:t>supuse unei dispute</w:t>
      </w:r>
      <w:r w:rsidR="004A77A2" w:rsidRPr="009D7E50">
        <w:rPr>
          <w:rFonts w:cstheme="minorHAnsi"/>
          <w:sz w:val="24"/>
          <w:szCs w:val="24"/>
          <w:lang w:val="ro-RO"/>
        </w:rPr>
        <w:t xml:space="preserve">. </w:t>
      </w:r>
    </w:p>
    <w:p w14:paraId="12673446" w14:textId="0804B6A0" w:rsidR="0023565E" w:rsidRPr="009D7E50" w:rsidRDefault="004A77A2" w:rsidP="004F1DBD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9D7E50">
        <w:rPr>
          <w:rFonts w:cstheme="minorHAnsi"/>
          <w:sz w:val="24"/>
          <w:szCs w:val="24"/>
          <w:lang w:val="ro-RO"/>
        </w:rPr>
        <w:t>Din motiva</w:t>
      </w:r>
      <w:r w:rsidR="008E1A5D" w:rsidRPr="009D7E50">
        <w:rPr>
          <w:rFonts w:cstheme="minorHAnsi"/>
          <w:sz w:val="24"/>
          <w:szCs w:val="24"/>
          <w:lang w:val="ro-RO"/>
        </w:rPr>
        <w:t>rea</w:t>
      </w:r>
      <w:r w:rsidRPr="009D7E50">
        <w:rPr>
          <w:rFonts w:cstheme="minorHAnsi"/>
          <w:sz w:val="24"/>
          <w:szCs w:val="24"/>
          <w:lang w:val="ro-RO"/>
        </w:rPr>
        <w:t xml:space="preserve"> dosarului</w:t>
      </w:r>
      <w:r w:rsidR="005D0FEC" w:rsidRPr="009D7E50">
        <w:rPr>
          <w:rFonts w:cstheme="minorHAnsi"/>
          <w:sz w:val="24"/>
          <w:szCs w:val="24"/>
          <w:lang w:val="ro-RO"/>
        </w:rPr>
        <w:t xml:space="preserve"> </w:t>
      </w:r>
      <w:r w:rsidR="009D7E50" w:rsidRPr="009D7E50">
        <w:rPr>
          <w:rFonts w:cstheme="minorHAnsi"/>
          <w:sz w:val="24"/>
          <w:szCs w:val="24"/>
          <w:lang w:val="ro-RO"/>
        </w:rPr>
        <w:t>„</w:t>
      </w:r>
      <w:r w:rsidR="005D0FEC" w:rsidRPr="009D7E50">
        <w:rPr>
          <w:rFonts w:cstheme="minorHAnsi"/>
          <w:sz w:val="24"/>
          <w:szCs w:val="24"/>
          <w:lang w:val="ro-RO"/>
        </w:rPr>
        <w:t>Ferma</w:t>
      </w:r>
      <w:r w:rsidRPr="009D7E50">
        <w:rPr>
          <w:rFonts w:cstheme="minorHAnsi"/>
          <w:sz w:val="24"/>
          <w:szCs w:val="24"/>
          <w:lang w:val="ro-RO"/>
        </w:rPr>
        <w:t xml:space="preserve"> Băneasa</w:t>
      </w:r>
      <w:r w:rsidR="009D7E50" w:rsidRPr="009D7E50">
        <w:rPr>
          <w:rFonts w:cstheme="minorHAnsi"/>
          <w:sz w:val="24"/>
          <w:szCs w:val="24"/>
          <w:lang w:val="ro-RO"/>
        </w:rPr>
        <w:t>”</w:t>
      </w:r>
      <w:r w:rsidRPr="009D7E50">
        <w:rPr>
          <w:rFonts w:cstheme="minorHAnsi"/>
          <w:sz w:val="24"/>
          <w:szCs w:val="24"/>
          <w:lang w:val="ro-RO"/>
        </w:rPr>
        <w:t xml:space="preserve">, </w:t>
      </w:r>
      <w:r w:rsidR="00D97D84" w:rsidRPr="009D7E50">
        <w:rPr>
          <w:rFonts w:cstheme="minorHAnsi"/>
          <w:sz w:val="24"/>
          <w:szCs w:val="24"/>
          <w:lang w:val="ro-RO"/>
        </w:rPr>
        <w:t xml:space="preserve">apar evidențiate </w:t>
      </w:r>
      <w:r w:rsidR="0092471F" w:rsidRPr="009D7E50">
        <w:rPr>
          <w:rFonts w:cstheme="minorHAnsi"/>
          <w:sz w:val="24"/>
          <w:szCs w:val="24"/>
          <w:lang w:val="ro-RO"/>
        </w:rPr>
        <w:t>mai multe</w:t>
      </w:r>
      <w:r w:rsidR="00D97D84" w:rsidRPr="009D7E50">
        <w:rPr>
          <w:rFonts w:cstheme="minorHAnsi"/>
          <w:sz w:val="24"/>
          <w:szCs w:val="24"/>
          <w:lang w:val="ro-RO"/>
        </w:rPr>
        <w:t xml:space="preserve"> aspecte care </w:t>
      </w:r>
      <w:r w:rsidR="0092471F" w:rsidRPr="009D7E50">
        <w:rPr>
          <w:rFonts w:cstheme="minorHAnsi"/>
          <w:sz w:val="24"/>
          <w:szCs w:val="24"/>
          <w:lang w:val="ro-RO"/>
        </w:rPr>
        <w:t xml:space="preserve">reprezintă </w:t>
      </w:r>
      <w:r w:rsidR="00D97D84" w:rsidRPr="009D7E50">
        <w:rPr>
          <w:rFonts w:cstheme="minorHAnsi"/>
          <w:sz w:val="24"/>
          <w:szCs w:val="24"/>
          <w:lang w:val="ro-RO"/>
        </w:rPr>
        <w:t>înc</w:t>
      </w:r>
      <w:r w:rsidR="0092471F" w:rsidRPr="009D7E50">
        <w:rPr>
          <w:rFonts w:cstheme="minorHAnsi"/>
          <w:sz w:val="24"/>
          <w:szCs w:val="24"/>
          <w:lang w:val="ro-RO"/>
        </w:rPr>
        <w:t>ălcări</w:t>
      </w:r>
      <w:r w:rsidR="008E1A5D" w:rsidRPr="009D7E50">
        <w:rPr>
          <w:rFonts w:cstheme="minorHAnsi"/>
          <w:sz w:val="24"/>
          <w:szCs w:val="24"/>
          <w:lang w:val="ro-RO"/>
        </w:rPr>
        <w:t xml:space="preserve"> ale</w:t>
      </w:r>
      <w:r w:rsidR="00D97D84" w:rsidRPr="009D7E50">
        <w:rPr>
          <w:rFonts w:cstheme="minorHAnsi"/>
          <w:sz w:val="24"/>
          <w:szCs w:val="24"/>
          <w:lang w:val="ro-RO"/>
        </w:rPr>
        <w:t xml:space="preserve"> principiil</w:t>
      </w:r>
      <w:r w:rsidR="008E1A5D" w:rsidRPr="009D7E50">
        <w:rPr>
          <w:rFonts w:cstheme="minorHAnsi"/>
          <w:sz w:val="24"/>
          <w:szCs w:val="24"/>
          <w:lang w:val="ro-RO"/>
        </w:rPr>
        <w:t>or</w:t>
      </w:r>
      <w:r w:rsidR="00D97D84" w:rsidRPr="009D7E50">
        <w:rPr>
          <w:rFonts w:cstheme="minorHAnsi"/>
          <w:sz w:val="24"/>
          <w:szCs w:val="24"/>
          <w:lang w:val="ro-RO"/>
        </w:rPr>
        <w:t xml:space="preserve"> statului de drept</w:t>
      </w:r>
      <w:r w:rsidR="0092471F" w:rsidRPr="009D7E50">
        <w:rPr>
          <w:rFonts w:cstheme="minorHAnsi"/>
          <w:sz w:val="24"/>
          <w:szCs w:val="24"/>
          <w:lang w:val="ro-RO"/>
        </w:rPr>
        <w:t xml:space="preserve">, </w:t>
      </w:r>
      <w:r w:rsidR="00D97D84" w:rsidRPr="009D7E50">
        <w:rPr>
          <w:rFonts w:cstheme="minorHAnsi"/>
          <w:sz w:val="24"/>
          <w:szCs w:val="24"/>
          <w:lang w:val="ro-RO"/>
        </w:rPr>
        <w:t xml:space="preserve">precum </w:t>
      </w:r>
      <w:r w:rsidR="00D97D84" w:rsidRPr="009D7E50">
        <w:rPr>
          <w:rFonts w:cstheme="minorHAnsi"/>
          <w:b/>
          <w:bCs/>
          <w:sz w:val="24"/>
          <w:szCs w:val="24"/>
          <w:lang w:val="ro-RO"/>
        </w:rPr>
        <w:t xml:space="preserve">identificarea avocaților cu </w:t>
      </w:r>
      <w:r w:rsidR="00B22506" w:rsidRPr="009D7E50">
        <w:rPr>
          <w:rFonts w:cstheme="minorHAnsi"/>
          <w:b/>
          <w:bCs/>
          <w:sz w:val="24"/>
          <w:szCs w:val="24"/>
          <w:lang w:val="ro-RO"/>
        </w:rPr>
        <w:t xml:space="preserve">clienții lor care sunt acuzați de </w:t>
      </w:r>
      <w:r w:rsidR="00D97D84" w:rsidRPr="009D7E50">
        <w:rPr>
          <w:rFonts w:cstheme="minorHAnsi"/>
          <w:b/>
          <w:bCs/>
          <w:sz w:val="24"/>
          <w:szCs w:val="24"/>
          <w:lang w:val="ro-RO"/>
        </w:rPr>
        <w:t xml:space="preserve">pretinse </w:t>
      </w:r>
      <w:r w:rsidR="00B22506" w:rsidRPr="009D7E50">
        <w:rPr>
          <w:rFonts w:cstheme="minorHAnsi"/>
          <w:b/>
          <w:bCs/>
          <w:sz w:val="24"/>
          <w:szCs w:val="24"/>
          <w:lang w:val="ro-RO"/>
        </w:rPr>
        <w:t xml:space="preserve">infracțiuni </w:t>
      </w:r>
      <w:r w:rsidR="00D97D84" w:rsidRPr="009D7E50">
        <w:rPr>
          <w:rFonts w:cstheme="minorHAnsi"/>
          <w:b/>
          <w:bCs/>
          <w:sz w:val="24"/>
          <w:szCs w:val="24"/>
          <w:lang w:val="ro-RO"/>
        </w:rPr>
        <w:t xml:space="preserve">și acuzarea </w:t>
      </w:r>
      <w:r w:rsidR="00B22506" w:rsidRPr="009D7E50">
        <w:rPr>
          <w:rFonts w:cstheme="minorHAnsi"/>
          <w:b/>
          <w:bCs/>
          <w:sz w:val="24"/>
          <w:szCs w:val="24"/>
          <w:lang w:val="ro-RO"/>
        </w:rPr>
        <w:t xml:space="preserve">avocaților </w:t>
      </w:r>
      <w:r w:rsidR="00D97D84" w:rsidRPr="009D7E50">
        <w:rPr>
          <w:rFonts w:cstheme="minorHAnsi"/>
          <w:b/>
          <w:bCs/>
          <w:sz w:val="24"/>
          <w:szCs w:val="24"/>
          <w:lang w:val="ro-RO"/>
        </w:rPr>
        <w:t>pentru delicte de opinie</w:t>
      </w:r>
      <w:r w:rsidR="00D97D84" w:rsidRPr="009D7E50">
        <w:rPr>
          <w:rFonts w:cstheme="minorHAnsi"/>
          <w:sz w:val="24"/>
          <w:szCs w:val="24"/>
          <w:lang w:val="ro-RO"/>
        </w:rPr>
        <w:t xml:space="preserve">, atunci când demersurile </w:t>
      </w:r>
      <w:r w:rsidR="00B22506" w:rsidRPr="009D7E50">
        <w:rPr>
          <w:rFonts w:cstheme="minorHAnsi"/>
          <w:sz w:val="24"/>
          <w:szCs w:val="24"/>
          <w:lang w:val="ro-RO"/>
        </w:rPr>
        <w:t xml:space="preserve">și opiniile </w:t>
      </w:r>
      <w:r w:rsidR="00D97D84" w:rsidRPr="009D7E50">
        <w:rPr>
          <w:rFonts w:cstheme="minorHAnsi"/>
          <w:sz w:val="24"/>
          <w:szCs w:val="24"/>
          <w:lang w:val="ro-RO"/>
        </w:rPr>
        <w:t xml:space="preserve">lor nu corespund opiniilor acuzării. </w:t>
      </w:r>
      <w:r w:rsidR="00B22506" w:rsidRPr="009D7E50">
        <w:rPr>
          <w:rFonts w:cstheme="minorHAnsi"/>
          <w:sz w:val="24"/>
          <w:szCs w:val="24"/>
          <w:lang w:val="ro-RO"/>
        </w:rPr>
        <w:t>În speța „Ferma Băneasa”, p</w:t>
      </w:r>
      <w:r w:rsidR="0023565E" w:rsidRPr="009D7E50">
        <w:rPr>
          <w:rFonts w:cstheme="minorHAnsi"/>
          <w:sz w:val="24"/>
          <w:szCs w:val="24"/>
          <w:lang w:val="ro-RO"/>
        </w:rPr>
        <w:t xml:space="preserve">otrivit </w:t>
      </w:r>
      <w:r w:rsidR="008E7F54" w:rsidRPr="009D7E50">
        <w:rPr>
          <w:rFonts w:cstheme="minorHAnsi"/>
          <w:sz w:val="24"/>
          <w:szCs w:val="24"/>
          <w:lang w:val="ro-RO"/>
        </w:rPr>
        <w:t>judecătorilor din apel, avocații</w:t>
      </w:r>
      <w:r w:rsidR="0023565E" w:rsidRPr="009D7E50">
        <w:rPr>
          <w:rFonts w:cstheme="minorHAnsi"/>
          <w:sz w:val="24"/>
          <w:szCs w:val="24"/>
          <w:lang w:val="ro-RO"/>
        </w:rPr>
        <w:t xml:space="preserve"> ar fi știut sau ar fi trebuit să știe că demersurile clienților se bazează pe hotărâri judecătorești </w:t>
      </w:r>
      <w:r w:rsidR="00B22506" w:rsidRPr="009D7E50">
        <w:rPr>
          <w:rFonts w:cstheme="minorHAnsi"/>
          <w:sz w:val="24"/>
          <w:szCs w:val="24"/>
          <w:lang w:val="ro-RO"/>
        </w:rPr>
        <w:t xml:space="preserve">(definitive și irevocabile) </w:t>
      </w:r>
      <w:r w:rsidR="00D97D84" w:rsidRPr="009D7E50">
        <w:rPr>
          <w:rFonts w:cstheme="minorHAnsi"/>
          <w:sz w:val="24"/>
          <w:szCs w:val="24"/>
          <w:lang w:val="ro-RO"/>
        </w:rPr>
        <w:t>greșite</w:t>
      </w:r>
      <w:r w:rsidR="0023565E" w:rsidRPr="009D7E50">
        <w:rPr>
          <w:rFonts w:cstheme="minorHAnsi"/>
          <w:sz w:val="24"/>
          <w:szCs w:val="24"/>
          <w:lang w:val="ro-RO"/>
        </w:rPr>
        <w:t xml:space="preserve"> de retrocedare în baza </w:t>
      </w:r>
      <w:r w:rsidR="005D0FEC" w:rsidRPr="009D7E50">
        <w:rPr>
          <w:rFonts w:cstheme="minorHAnsi"/>
          <w:sz w:val="24"/>
          <w:szCs w:val="24"/>
          <w:lang w:val="ro-RO"/>
        </w:rPr>
        <w:t>L</w:t>
      </w:r>
      <w:r w:rsidR="0023565E" w:rsidRPr="009D7E50">
        <w:rPr>
          <w:rFonts w:cstheme="minorHAnsi"/>
          <w:sz w:val="24"/>
          <w:szCs w:val="24"/>
          <w:lang w:val="ro-RO"/>
        </w:rPr>
        <w:t xml:space="preserve">egii </w:t>
      </w:r>
      <w:r w:rsidR="005D0FEC" w:rsidRPr="009D7E50">
        <w:rPr>
          <w:rFonts w:cstheme="minorHAnsi"/>
          <w:sz w:val="24"/>
          <w:szCs w:val="24"/>
          <w:lang w:val="ro-RO"/>
        </w:rPr>
        <w:t xml:space="preserve">nr. </w:t>
      </w:r>
      <w:r w:rsidR="0023565E" w:rsidRPr="009D7E50">
        <w:rPr>
          <w:rFonts w:cstheme="minorHAnsi"/>
          <w:sz w:val="24"/>
          <w:szCs w:val="24"/>
          <w:lang w:val="ro-RO"/>
        </w:rPr>
        <w:t>10</w:t>
      </w:r>
      <w:r w:rsidR="00D97D84" w:rsidRPr="009D7E50">
        <w:rPr>
          <w:rFonts w:cstheme="minorHAnsi"/>
          <w:sz w:val="24"/>
          <w:szCs w:val="24"/>
          <w:lang w:val="ro-RO"/>
        </w:rPr>
        <w:t>/2001</w:t>
      </w:r>
      <w:r w:rsidR="0023565E" w:rsidRPr="009D7E50">
        <w:rPr>
          <w:rFonts w:cstheme="minorHAnsi"/>
          <w:sz w:val="24"/>
          <w:szCs w:val="24"/>
          <w:lang w:val="ro-RO"/>
        </w:rPr>
        <w:t xml:space="preserve"> (în cazul acuzației de complicitate de abuz în serviciu) sau că organiza</w:t>
      </w:r>
      <w:r w:rsidR="008E1A5D" w:rsidRPr="009D7E50">
        <w:rPr>
          <w:rFonts w:cstheme="minorHAnsi"/>
          <w:sz w:val="24"/>
          <w:szCs w:val="24"/>
          <w:lang w:val="ro-RO"/>
        </w:rPr>
        <w:t>rea unor</w:t>
      </w:r>
      <w:r w:rsidR="0023565E" w:rsidRPr="009D7E50">
        <w:rPr>
          <w:rFonts w:cstheme="minorHAnsi"/>
          <w:sz w:val="24"/>
          <w:szCs w:val="24"/>
          <w:lang w:val="ro-RO"/>
        </w:rPr>
        <w:t xml:space="preserve"> întâlniri sau </w:t>
      </w:r>
      <w:r w:rsidR="008E1A5D" w:rsidRPr="009D7E50">
        <w:rPr>
          <w:rFonts w:cstheme="minorHAnsi"/>
          <w:sz w:val="24"/>
          <w:szCs w:val="24"/>
          <w:lang w:val="ro-RO"/>
        </w:rPr>
        <w:t>participarea</w:t>
      </w:r>
      <w:r w:rsidR="0023565E" w:rsidRPr="009D7E50">
        <w:rPr>
          <w:rFonts w:cstheme="minorHAnsi"/>
          <w:sz w:val="24"/>
          <w:szCs w:val="24"/>
          <w:lang w:val="ro-RO"/>
        </w:rPr>
        <w:t xml:space="preserve"> la întâlniri cu clienții și alte persoane </w:t>
      </w:r>
      <w:r w:rsidR="008E1A5D" w:rsidRPr="009D7E50">
        <w:rPr>
          <w:rFonts w:cstheme="minorHAnsi"/>
          <w:sz w:val="24"/>
          <w:szCs w:val="24"/>
          <w:lang w:val="ro-RO"/>
        </w:rPr>
        <w:t xml:space="preserve">ar fi probe în sine </w:t>
      </w:r>
      <w:r w:rsidR="0023565E" w:rsidRPr="009D7E50">
        <w:rPr>
          <w:rFonts w:cstheme="minorHAnsi"/>
          <w:sz w:val="24"/>
          <w:szCs w:val="24"/>
          <w:lang w:val="ro-RO"/>
        </w:rPr>
        <w:t xml:space="preserve">în cazul acuzației de constituire de grup infracțional organizat. </w:t>
      </w:r>
    </w:p>
    <w:p w14:paraId="6C578D40" w14:textId="09DF6492" w:rsidR="00D97D84" w:rsidRPr="009D7E50" w:rsidRDefault="009452B2" w:rsidP="004F1DBD">
      <w:pPr>
        <w:pStyle w:val="ListParagraph"/>
        <w:spacing w:after="0" w:line="360" w:lineRule="auto"/>
        <w:ind w:left="0"/>
        <w:jc w:val="both"/>
        <w:rPr>
          <w:rFonts w:cstheme="minorHAnsi"/>
          <w:sz w:val="24"/>
          <w:szCs w:val="24"/>
          <w:lang w:val="ro-RO"/>
        </w:rPr>
      </w:pPr>
      <w:r w:rsidRPr="009D7E50">
        <w:rPr>
          <w:rFonts w:cstheme="minorHAnsi"/>
          <w:sz w:val="24"/>
          <w:szCs w:val="24"/>
          <w:lang w:val="ro-RO"/>
        </w:rPr>
        <w:t xml:space="preserve">Un alt aspect care a determinat reacții puternice nu numai din partea avocaților, ci a profesioniștilor dreptului în general, inclusiv magistrați, </w:t>
      </w:r>
      <w:r w:rsidRPr="009D7E50">
        <w:rPr>
          <w:rFonts w:cstheme="minorHAnsi"/>
          <w:b/>
          <w:bCs/>
          <w:sz w:val="24"/>
          <w:szCs w:val="24"/>
          <w:lang w:val="ro-RO"/>
        </w:rPr>
        <w:t xml:space="preserve">este audierea ca martori a avocaților în dosarele îndreptate împotriva clienților lor. </w:t>
      </w:r>
      <w:r w:rsidRPr="009D7E50">
        <w:rPr>
          <w:rFonts w:cstheme="minorHAnsi"/>
          <w:sz w:val="24"/>
          <w:szCs w:val="24"/>
          <w:lang w:val="ro-RO"/>
        </w:rPr>
        <w:t xml:space="preserve">În acest dosar au fost audiați zeci de avocați în calitate de martori, cărora li s-a cerut să explice raționamentele juridice, de ce și cum își reprezintă clienții. Inclusiv judecătorii au fost chemați ca martori împotriva propriilor hotărâri, astfel încât s-a renegat autoritatea de lucru judecat. </w:t>
      </w:r>
    </w:p>
    <w:p w14:paraId="41AC33C0" w14:textId="77777777" w:rsidR="008E1A5D" w:rsidRPr="009D7E50" w:rsidRDefault="008E1A5D" w:rsidP="004F1DBD">
      <w:pPr>
        <w:pStyle w:val="ListParagraph"/>
        <w:spacing w:after="0" w:line="360" w:lineRule="auto"/>
        <w:ind w:left="0"/>
        <w:jc w:val="both"/>
        <w:rPr>
          <w:rFonts w:cstheme="minorHAnsi"/>
          <w:sz w:val="24"/>
          <w:szCs w:val="24"/>
          <w:lang w:val="ro-RO"/>
        </w:rPr>
      </w:pPr>
    </w:p>
    <w:p w14:paraId="759B23AB" w14:textId="37DECC20" w:rsidR="00E316AA" w:rsidRPr="009D7E50" w:rsidRDefault="00F8254D" w:rsidP="004F1DBD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9D7E50">
        <w:rPr>
          <w:rFonts w:cstheme="minorHAnsi"/>
          <w:sz w:val="24"/>
          <w:szCs w:val="24"/>
          <w:lang w:val="ro-RO"/>
        </w:rPr>
        <w:t xml:space="preserve">Prin urmare, </w:t>
      </w:r>
      <w:r w:rsidR="008E1A5D" w:rsidRPr="009D7E50">
        <w:rPr>
          <w:rFonts w:cstheme="minorHAnsi"/>
          <w:sz w:val="24"/>
          <w:szCs w:val="24"/>
          <w:lang w:val="ro-RO"/>
        </w:rPr>
        <w:t>d</w:t>
      </w:r>
      <w:r w:rsidRPr="009D7E50">
        <w:rPr>
          <w:rFonts w:cstheme="minorHAnsi"/>
          <w:sz w:val="24"/>
          <w:szCs w:val="24"/>
          <w:lang w:val="ro-RO"/>
        </w:rPr>
        <w:t xml:space="preserve">ecizia instanței în dosarul </w:t>
      </w:r>
      <w:r w:rsidR="00B22506" w:rsidRPr="009D7E50">
        <w:rPr>
          <w:rFonts w:cstheme="minorHAnsi"/>
          <w:sz w:val="24"/>
          <w:szCs w:val="24"/>
          <w:lang w:val="ro-RO"/>
        </w:rPr>
        <w:t xml:space="preserve">„Ferma Băneasa” </w:t>
      </w:r>
      <w:r w:rsidR="00F22330" w:rsidRPr="009D7E50">
        <w:rPr>
          <w:rFonts w:cstheme="minorHAnsi"/>
          <w:sz w:val="24"/>
          <w:szCs w:val="24"/>
          <w:lang w:val="ro-RO"/>
        </w:rPr>
        <w:t>nu vizează cazul unui anum</w:t>
      </w:r>
      <w:r w:rsidRPr="009D7E50">
        <w:rPr>
          <w:rFonts w:cstheme="minorHAnsi"/>
          <w:sz w:val="24"/>
          <w:szCs w:val="24"/>
          <w:lang w:val="ro-RO"/>
        </w:rPr>
        <w:t>e</w:t>
      </w:r>
      <w:r w:rsidR="00F22330" w:rsidRPr="009D7E50">
        <w:rPr>
          <w:rFonts w:cstheme="minorHAnsi"/>
          <w:sz w:val="24"/>
          <w:szCs w:val="24"/>
          <w:lang w:val="ro-RO"/>
        </w:rPr>
        <w:t xml:space="preserve"> avocat, ci </w:t>
      </w:r>
      <w:r w:rsidR="008E1A5D" w:rsidRPr="009D7E50">
        <w:rPr>
          <w:rFonts w:cstheme="minorHAnsi"/>
          <w:sz w:val="24"/>
          <w:szCs w:val="24"/>
          <w:lang w:val="ro-RO"/>
        </w:rPr>
        <w:t xml:space="preserve">afectează profesia de avocat, </w:t>
      </w:r>
      <w:r w:rsidR="00F22330" w:rsidRPr="009D7E50">
        <w:rPr>
          <w:rFonts w:cstheme="minorHAnsi"/>
          <w:sz w:val="24"/>
          <w:szCs w:val="24"/>
          <w:lang w:val="ro-RO"/>
        </w:rPr>
        <w:t xml:space="preserve">apărarea </w:t>
      </w:r>
      <w:r w:rsidR="008E1A5D" w:rsidRPr="009D7E50">
        <w:rPr>
          <w:rFonts w:cstheme="minorHAnsi"/>
          <w:sz w:val="24"/>
          <w:szCs w:val="24"/>
          <w:lang w:val="ro-RO"/>
        </w:rPr>
        <w:t>cetățeanului,</w:t>
      </w:r>
      <w:r w:rsidR="00F22330" w:rsidRPr="009D7E50">
        <w:rPr>
          <w:rFonts w:cstheme="minorHAnsi"/>
          <w:sz w:val="24"/>
          <w:szCs w:val="24"/>
          <w:lang w:val="ro-RO"/>
        </w:rPr>
        <w:t xml:space="preserve"> </w:t>
      </w:r>
      <w:r w:rsidR="008E1A5D" w:rsidRPr="009D7E50">
        <w:rPr>
          <w:rFonts w:cstheme="minorHAnsi"/>
          <w:sz w:val="24"/>
          <w:szCs w:val="24"/>
          <w:lang w:val="ro-RO"/>
        </w:rPr>
        <w:t>justiția și</w:t>
      </w:r>
      <w:r w:rsidR="00F22330" w:rsidRPr="009D7E50">
        <w:rPr>
          <w:rFonts w:cstheme="minorHAnsi"/>
          <w:sz w:val="24"/>
          <w:szCs w:val="24"/>
          <w:lang w:val="ro-RO"/>
        </w:rPr>
        <w:t xml:space="preserve"> statul de drept. </w:t>
      </w:r>
      <w:r w:rsidRPr="009D7E50">
        <w:rPr>
          <w:rFonts w:cstheme="minorHAnsi"/>
          <w:sz w:val="24"/>
          <w:szCs w:val="24"/>
          <w:lang w:val="ro-RO"/>
        </w:rPr>
        <w:t xml:space="preserve">Aceste probleme pot deveni sistemice și </w:t>
      </w:r>
      <w:r w:rsidR="00DB4F5B" w:rsidRPr="009D7E50">
        <w:rPr>
          <w:rFonts w:cstheme="minorHAnsi"/>
          <w:sz w:val="24"/>
          <w:szCs w:val="24"/>
          <w:lang w:val="ro-RO"/>
        </w:rPr>
        <w:t xml:space="preserve">se pot răsfrânge </w:t>
      </w:r>
      <w:r w:rsidRPr="009D7E50">
        <w:rPr>
          <w:rFonts w:cstheme="minorHAnsi"/>
          <w:sz w:val="24"/>
          <w:szCs w:val="24"/>
          <w:lang w:val="ro-RO"/>
        </w:rPr>
        <w:t xml:space="preserve">asupra tuturor cetățenilor, care pot fi lipsiți de apărare în cazul revendicării unui drept (care dacă ar fi cert nu ar ajunge </w:t>
      </w:r>
      <w:r w:rsidR="005D0FEC" w:rsidRPr="009D7E50">
        <w:rPr>
          <w:rFonts w:cstheme="minorHAnsi"/>
          <w:sz w:val="24"/>
          <w:szCs w:val="24"/>
          <w:lang w:val="ro-RO"/>
        </w:rPr>
        <w:t>într-o dispută</w:t>
      </w:r>
      <w:r w:rsidRPr="009D7E50">
        <w:rPr>
          <w:rFonts w:cstheme="minorHAnsi"/>
          <w:sz w:val="24"/>
          <w:szCs w:val="24"/>
          <w:lang w:val="ro-RO"/>
        </w:rPr>
        <w:t xml:space="preserve">) sau a unei acuzații! </w:t>
      </w:r>
    </w:p>
    <w:p w14:paraId="34B2A471" w14:textId="77777777" w:rsidR="008E1A5D" w:rsidRPr="009D7E50" w:rsidRDefault="008E1A5D" w:rsidP="004F1DBD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</w:p>
    <w:p w14:paraId="4F34D46B" w14:textId="5191E257" w:rsidR="0083377A" w:rsidRPr="009D7E50" w:rsidRDefault="0083377A" w:rsidP="004F1D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lang w:val="ro-RO"/>
        </w:rPr>
      </w:pPr>
      <w:r w:rsidRPr="009D7E50">
        <w:rPr>
          <w:rFonts w:asciiTheme="minorHAnsi" w:hAnsiTheme="minorHAnsi" w:cstheme="minorHAnsi"/>
          <w:lang w:val="ro-RO"/>
        </w:rPr>
        <w:t xml:space="preserve">UNBR va continua </w:t>
      </w:r>
      <w:r w:rsidR="0025292C" w:rsidRPr="009D7E50">
        <w:rPr>
          <w:rFonts w:asciiTheme="minorHAnsi" w:hAnsiTheme="minorHAnsi" w:cstheme="minorHAnsi"/>
          <w:lang w:val="ro-RO"/>
        </w:rPr>
        <w:t xml:space="preserve">demersurile făcute </w:t>
      </w:r>
      <w:r w:rsidR="009D7E50" w:rsidRPr="009D7E50">
        <w:rPr>
          <w:rFonts w:asciiTheme="minorHAnsi" w:hAnsiTheme="minorHAnsi" w:cstheme="minorHAnsi"/>
          <w:lang w:val="ro-RO"/>
        </w:rPr>
        <w:t>pe lângă</w:t>
      </w:r>
      <w:r w:rsidR="0025292C" w:rsidRPr="009D7E50">
        <w:rPr>
          <w:rFonts w:asciiTheme="minorHAnsi" w:hAnsiTheme="minorHAnsi" w:cstheme="minorHAnsi"/>
          <w:lang w:val="ro-RO"/>
        </w:rPr>
        <w:t xml:space="preserve"> forurile europene și </w:t>
      </w:r>
      <w:r w:rsidRPr="009D7E50">
        <w:rPr>
          <w:rFonts w:asciiTheme="minorHAnsi" w:hAnsiTheme="minorHAnsi" w:cstheme="minorHAnsi"/>
          <w:lang w:val="ro-RO"/>
        </w:rPr>
        <w:t xml:space="preserve">organizațiile internaționale ale avocaților, care monitorizează deja acest caz </w:t>
      </w:r>
      <w:r w:rsidR="0025292C" w:rsidRPr="009D7E50">
        <w:rPr>
          <w:rFonts w:asciiTheme="minorHAnsi" w:hAnsiTheme="minorHAnsi" w:cstheme="minorHAnsi"/>
          <w:lang w:val="ro-RO"/>
        </w:rPr>
        <w:t>și și-au afirmat susținerea. Amintim că la</w:t>
      </w:r>
      <w:r w:rsidRPr="009D7E50">
        <w:rPr>
          <w:rFonts w:asciiTheme="minorHAnsi" w:hAnsiTheme="minorHAnsi" w:cstheme="minorHAnsi"/>
          <w:lang w:val="ro-RO"/>
        </w:rPr>
        <w:t xml:space="preserve"> 23.10.2020, Comitetul Permanent al Adunării Parlamentare a Consiliului Europei a adoptat </w:t>
      </w:r>
      <w:hyperlink r:id="rId5" w:tgtFrame="_blank" w:history="1">
        <w:r w:rsidRPr="009D7E50">
          <w:rPr>
            <w:rStyle w:val="Hyperlink"/>
            <w:rFonts w:asciiTheme="minorHAnsi" w:hAnsiTheme="minorHAnsi" w:cstheme="minorHAnsi"/>
            <w:color w:val="auto"/>
            <w:lang w:val="ro-RO"/>
          </w:rPr>
          <w:t>Rezoluția 2348 (2020)</w:t>
        </w:r>
      </w:hyperlink>
      <w:r w:rsidRPr="009D7E50">
        <w:rPr>
          <w:rFonts w:asciiTheme="minorHAnsi" w:hAnsiTheme="minorHAnsi" w:cstheme="minorHAnsi"/>
          <w:lang w:val="ro-RO"/>
        </w:rPr>
        <w:t> și </w:t>
      </w:r>
      <w:hyperlink r:id="rId6" w:tgtFrame="_blank" w:history="1">
        <w:r w:rsidRPr="009D7E50">
          <w:rPr>
            <w:rStyle w:val="Hyperlink"/>
            <w:rFonts w:asciiTheme="minorHAnsi" w:hAnsiTheme="minorHAnsi" w:cstheme="minorHAnsi"/>
            <w:color w:val="auto"/>
            <w:lang w:val="ro-RO"/>
          </w:rPr>
          <w:t>Recomandarea 2188 (2020)</w:t>
        </w:r>
      </w:hyperlink>
      <w:r w:rsidRPr="009D7E50">
        <w:rPr>
          <w:rFonts w:asciiTheme="minorHAnsi" w:hAnsiTheme="minorHAnsi" w:cstheme="minorHAnsi"/>
          <w:lang w:val="ro-RO"/>
        </w:rPr>
        <w:t xml:space="preserve">, solicitând Comitetului de Miniștri adoptarea unui instrument juridic obligatoriu în vederea protejării drepturilor avocaților, ca urmare a </w:t>
      </w:r>
      <w:hyperlink r:id="rId7" w:history="1">
        <w:r w:rsidRPr="009D7E50">
          <w:rPr>
            <w:rStyle w:val="Hyperlink"/>
            <w:rFonts w:asciiTheme="minorHAnsi" w:hAnsiTheme="minorHAnsi" w:cstheme="minorHAnsi"/>
            <w:color w:val="auto"/>
            <w:lang w:val="ro-RO"/>
          </w:rPr>
          <w:t>Raportului</w:t>
        </w:r>
      </w:hyperlink>
      <w:r w:rsidRPr="009D7E50">
        <w:rPr>
          <w:rFonts w:asciiTheme="minorHAnsi" w:hAnsiTheme="minorHAnsi" w:cstheme="minorHAnsi"/>
          <w:lang w:val="ro-RO"/>
        </w:rPr>
        <w:t xml:space="preserve"> întocmit în acest scop.</w:t>
      </w:r>
    </w:p>
    <w:p w14:paraId="70F986A3" w14:textId="65690343" w:rsidR="0083377A" w:rsidRPr="009D7E50" w:rsidRDefault="0083377A" w:rsidP="004F1D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lang w:val="ro-RO"/>
        </w:rPr>
      </w:pPr>
      <w:r w:rsidRPr="009D7E50">
        <w:rPr>
          <w:rFonts w:asciiTheme="minorHAnsi" w:hAnsiTheme="minorHAnsi" w:cstheme="minorHAnsi"/>
          <w:lang w:val="ro-RO"/>
        </w:rPr>
        <w:t>Conform </w:t>
      </w:r>
      <w:hyperlink r:id="rId8" w:tgtFrame="_blank" w:history="1">
        <w:r w:rsidRPr="009D7E50">
          <w:rPr>
            <w:rStyle w:val="Hyperlink"/>
            <w:rFonts w:asciiTheme="minorHAnsi" w:hAnsiTheme="minorHAnsi" w:cstheme="minorHAnsi"/>
            <w:color w:val="auto"/>
            <w:lang w:val="ro-RO"/>
          </w:rPr>
          <w:t>Rezoluției 2348 (2020)</w:t>
        </w:r>
      </w:hyperlink>
      <w:r w:rsidRPr="009D7E50">
        <w:rPr>
          <w:rFonts w:asciiTheme="minorHAnsi" w:hAnsiTheme="minorHAnsi" w:cstheme="minorHAnsi"/>
          <w:lang w:val="ro-RO"/>
        </w:rPr>
        <w:t> privind principiile și garanțiile aplicabile avocaților </w:t>
      </w:r>
      <w:r w:rsidRPr="009D7E50">
        <w:rPr>
          <w:rStyle w:val="Emphasis"/>
          <w:rFonts w:asciiTheme="minorHAnsi" w:hAnsiTheme="minorHAnsi" w:cstheme="minorHAnsi"/>
          <w:iCs/>
          <w:lang w:val="ro-RO"/>
        </w:rPr>
        <w:t>–</w:t>
      </w:r>
      <w:r w:rsidR="007C1B38" w:rsidRPr="009D7E50">
        <w:rPr>
          <w:rFonts w:asciiTheme="minorHAnsi" w:hAnsiTheme="minorHAnsi" w:cstheme="minorHAnsi"/>
          <w:lang w:val="ro-RO"/>
        </w:rPr>
        <w:t xml:space="preserve"> </w:t>
      </w:r>
      <w:r w:rsidRPr="009D7E50">
        <w:rPr>
          <w:rFonts w:asciiTheme="minorHAnsi" w:hAnsiTheme="minorHAnsi" w:cstheme="minorHAnsi"/>
          <w:lang w:val="ro-RO"/>
        </w:rPr>
        <w:t>Adunarea îndeamnă toate statele membre ale Consiliului Europei să asigure protecția eficientă a profesiei de avocat, în special prin interzicerea interferenței statului în profesia de avocat și </w:t>
      </w:r>
      <w:r w:rsidRPr="009D7E50">
        <w:rPr>
          <w:rStyle w:val="Strong"/>
          <w:rFonts w:asciiTheme="minorHAnsi" w:hAnsiTheme="minorHAnsi" w:cstheme="minorHAnsi"/>
          <w:lang w:val="ro-RO"/>
        </w:rPr>
        <w:t>definirea clară a activităților precise care constituie o interferență interzisă</w:t>
      </w:r>
      <w:r w:rsidRPr="009D7E50">
        <w:rPr>
          <w:rFonts w:asciiTheme="minorHAnsi" w:hAnsiTheme="minorHAnsi" w:cstheme="minorHAnsi"/>
          <w:lang w:val="ro-RO"/>
        </w:rPr>
        <w:t>, </w:t>
      </w:r>
      <w:r w:rsidRPr="009D7E50">
        <w:rPr>
          <w:rStyle w:val="Strong"/>
          <w:rFonts w:asciiTheme="minorHAnsi" w:hAnsiTheme="minorHAnsi" w:cstheme="minorHAnsi"/>
          <w:lang w:val="ro-RO"/>
        </w:rPr>
        <w:t>precum și prin stabilirea unui cadru legislativ național care garantează eficiența, independența și securitatea activității avocaților</w:t>
      </w:r>
      <w:r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.</w:t>
      </w:r>
      <w:r w:rsidR="0025292C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 xml:space="preserve"> </w:t>
      </w:r>
      <w:r w:rsidRPr="009D7E50">
        <w:rPr>
          <w:rFonts w:asciiTheme="minorHAnsi" w:hAnsiTheme="minorHAnsi" w:cstheme="minorHAnsi"/>
          <w:lang w:val="ro-RO"/>
        </w:rPr>
        <w:t>Prin </w:t>
      </w:r>
      <w:hyperlink r:id="rId9" w:tgtFrame="_blank" w:history="1">
        <w:r w:rsidRPr="009D7E50">
          <w:rPr>
            <w:rStyle w:val="Hyperlink"/>
            <w:rFonts w:asciiTheme="minorHAnsi" w:hAnsiTheme="minorHAnsi" w:cstheme="minorHAnsi"/>
            <w:color w:val="auto"/>
            <w:lang w:val="ro-RO"/>
          </w:rPr>
          <w:t>Recomandarea 2188 (2020)</w:t>
        </w:r>
      </w:hyperlink>
      <w:r w:rsidRPr="009D7E50">
        <w:rPr>
          <w:rFonts w:asciiTheme="minorHAnsi" w:hAnsiTheme="minorHAnsi" w:cstheme="minorHAnsi"/>
          <w:lang w:val="ro-RO"/>
        </w:rPr>
        <w:t> privind principiile și garanțiile aplicabile avocaților</w:t>
      </w:r>
      <w:r w:rsidR="0025292C" w:rsidRPr="009D7E50">
        <w:rPr>
          <w:rFonts w:asciiTheme="minorHAnsi" w:hAnsiTheme="minorHAnsi" w:cstheme="minorHAnsi"/>
          <w:lang w:val="ro-RO"/>
        </w:rPr>
        <w:t>,</w:t>
      </w:r>
      <w:r w:rsidR="007C1B38" w:rsidRPr="009D7E50">
        <w:rPr>
          <w:rFonts w:asciiTheme="minorHAnsi" w:hAnsiTheme="minorHAnsi" w:cstheme="minorHAnsi"/>
          <w:lang w:val="ro-RO"/>
        </w:rPr>
        <w:t xml:space="preserve"> </w:t>
      </w:r>
      <w:r w:rsidRPr="009D7E50">
        <w:rPr>
          <w:rFonts w:asciiTheme="minorHAnsi" w:hAnsiTheme="minorHAnsi" w:cstheme="minorHAnsi"/>
          <w:lang w:val="ro-RO"/>
        </w:rPr>
        <w:t xml:space="preserve">Adunarea reamintește Comitetului Miniștrilor </w:t>
      </w:r>
      <w:r w:rsidRPr="009D7E50">
        <w:rPr>
          <w:rFonts w:asciiTheme="minorHAnsi" w:hAnsiTheme="minorHAnsi" w:cstheme="minorHAnsi"/>
          <w:b/>
          <w:bCs/>
          <w:lang w:val="ro-RO"/>
        </w:rPr>
        <w:t>necesitatea de a asigura, prin mijloace legislative, dreptul la un proces echitabil, prin crearea condițiilor de egalitate între acuzare și apărare în procedurile contradictorii, precum și prin garantarea siguranței avocaților și a altor participanți la procedurile legale</w:t>
      </w:r>
      <w:r w:rsidRPr="009D7E50">
        <w:rPr>
          <w:rFonts w:asciiTheme="minorHAnsi" w:hAnsiTheme="minorHAnsi" w:cstheme="minorHAnsi"/>
          <w:lang w:val="ro-RO"/>
        </w:rPr>
        <w:t xml:space="preserve"> (inclusiv judecători, anchetatori și procurori) în cursul activităților lor profesionale.</w:t>
      </w:r>
    </w:p>
    <w:p w14:paraId="1C94B427" w14:textId="3C290269" w:rsidR="005D0FEC" w:rsidRPr="009D7E50" w:rsidRDefault="005D0FEC" w:rsidP="005D0FEC">
      <w:pPr>
        <w:pStyle w:val="NormalWeb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9D7E50">
        <w:rPr>
          <w:rFonts w:asciiTheme="minorHAnsi" w:hAnsiTheme="minorHAnsi" w:cstheme="minorHAnsi"/>
          <w:lang w:val="ro-RO"/>
        </w:rPr>
        <w:t>Sub acest aspect, UNBR va analiza, pe baza consultării corpului profesional care sunt</w:t>
      </w:r>
      <w:r w:rsidR="007C1B38" w:rsidRPr="009D7E50">
        <w:rPr>
          <w:rFonts w:asciiTheme="minorHAnsi" w:hAnsiTheme="minorHAnsi" w:cstheme="minorHAnsi"/>
          <w:lang w:val="ro-RO"/>
        </w:rPr>
        <w:t xml:space="preserve"> </w:t>
      </w:r>
      <w:r w:rsidRPr="009D7E50">
        <w:rPr>
          <w:rFonts w:asciiTheme="minorHAnsi" w:hAnsiTheme="minorHAnsi" w:cstheme="minorHAnsi"/>
          <w:lang w:val="ro-RO"/>
        </w:rPr>
        <w:t xml:space="preserve">modificări legislative necesar a fi propuse pentru întărirea garanțiilor exercitării libere a profesiei de avocat, în conformitate cu recomandările europene. </w:t>
      </w:r>
    </w:p>
    <w:p w14:paraId="3BD051F9" w14:textId="31C4AE2B" w:rsidR="00B40112" w:rsidRPr="009D7E50" w:rsidRDefault="00B40112" w:rsidP="004F1D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Theme="minorHAnsi" w:hAnsiTheme="minorHAnsi" w:cstheme="minorHAnsi"/>
          <w:b w:val="0"/>
          <w:bCs w:val="0"/>
          <w:lang w:val="ro-RO"/>
        </w:rPr>
      </w:pPr>
      <w:r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 xml:space="preserve">UNBR </w:t>
      </w:r>
      <w:r w:rsidR="00CC7C13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a recomandat barourilor utilizarea mijloacelor de adu</w:t>
      </w:r>
      <w:r w:rsidR="00C80EC4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cere la cuno</w:t>
      </w:r>
      <w:r w:rsidR="00FC7102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ș</w:t>
      </w:r>
      <w:r w:rsidR="00C80EC4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tinț</w:t>
      </w:r>
      <w:r w:rsidR="00FC7102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ă</w:t>
      </w:r>
      <w:r w:rsidR="00C80EC4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 xml:space="preserve"> publică a vulnerabilităților </w:t>
      </w:r>
      <w:r w:rsidR="00F67CF6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cu care se confruntă dreptul la ap</w:t>
      </w:r>
      <w:r w:rsidR="00FC7102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ă</w:t>
      </w:r>
      <w:r w:rsidR="00F67CF6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rare</w:t>
      </w:r>
      <w:r w:rsidR="00674904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 xml:space="preserve">, inclusiv prin manifestări care să atragă atenția asupra abuzurilor </w:t>
      </w:r>
      <w:r w:rsidR="00A93991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asupra profesiei de avocat</w:t>
      </w:r>
      <w:r w:rsidR="00C31FAF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.</w:t>
      </w:r>
    </w:p>
    <w:p w14:paraId="2F0E0C8F" w14:textId="77777777" w:rsidR="00591448" w:rsidRPr="009D7E50" w:rsidRDefault="00591448" w:rsidP="004F1D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Theme="minorHAnsi" w:hAnsiTheme="minorHAnsi" w:cstheme="minorHAnsi"/>
          <w:b w:val="0"/>
          <w:bCs w:val="0"/>
          <w:lang w:val="ro-RO"/>
        </w:rPr>
      </w:pPr>
    </w:p>
    <w:p w14:paraId="7E59CFA5" w14:textId="1FCA117C" w:rsidR="0083377A" w:rsidRPr="009D7E50" w:rsidRDefault="0025292C" w:rsidP="004F1D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Theme="minorHAnsi" w:hAnsiTheme="minorHAnsi" w:cstheme="minorHAnsi"/>
          <w:b w:val="0"/>
          <w:bCs w:val="0"/>
          <w:lang w:val="ro-RO"/>
        </w:rPr>
      </w:pPr>
      <w:r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 xml:space="preserve">UNBR </w:t>
      </w:r>
      <w:r w:rsidR="00591448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consideră în continuare că viziunile care denaturează rolul avocatului în sistemul de drept</w:t>
      </w:r>
      <w:r w:rsidR="005D0FEC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 xml:space="preserve"> </w:t>
      </w:r>
      <w:r w:rsidR="009A7572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prin</w:t>
      </w:r>
      <w:r w:rsidR="005D0FEC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 xml:space="preserve"> </w:t>
      </w:r>
      <w:r w:rsidR="009A7572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nedisocierea</w:t>
      </w:r>
      <w:r w:rsidR="005D0FEC" w:rsidRPr="009D7E50">
        <w:rPr>
          <w:rFonts w:asciiTheme="minorHAnsi" w:hAnsiTheme="minorHAnsi" w:cstheme="minorHAnsi"/>
          <w:lang w:val="ro-RO"/>
        </w:rPr>
        <w:t xml:space="preserve"> între prestarea de servicii de asisten</w:t>
      </w:r>
      <w:r w:rsidR="009D7E50" w:rsidRPr="009D7E50">
        <w:rPr>
          <w:rFonts w:asciiTheme="minorHAnsi" w:hAnsiTheme="minorHAnsi" w:cstheme="minorHAnsi"/>
          <w:lang w:val="ro-RO"/>
        </w:rPr>
        <w:t>ț</w:t>
      </w:r>
      <w:r w:rsidR="005D0FEC" w:rsidRPr="009D7E50">
        <w:rPr>
          <w:rFonts w:asciiTheme="minorHAnsi" w:hAnsiTheme="minorHAnsi" w:cstheme="minorHAnsi"/>
          <w:lang w:val="ro-RO"/>
        </w:rPr>
        <w:t>ă juridică de către un avocat şi pregătirea şi săvâr</w:t>
      </w:r>
      <w:r w:rsidR="009D7E50" w:rsidRPr="009D7E50">
        <w:rPr>
          <w:rFonts w:asciiTheme="minorHAnsi" w:hAnsiTheme="minorHAnsi" w:cstheme="minorHAnsi"/>
          <w:lang w:val="ro-RO"/>
        </w:rPr>
        <w:t>ș</w:t>
      </w:r>
      <w:r w:rsidR="005D0FEC" w:rsidRPr="009D7E50">
        <w:rPr>
          <w:rFonts w:asciiTheme="minorHAnsi" w:hAnsiTheme="minorHAnsi" w:cstheme="minorHAnsi"/>
          <w:lang w:val="ro-RO"/>
        </w:rPr>
        <w:t xml:space="preserve">irea de fapte ilicite </w:t>
      </w:r>
      <w:r w:rsidR="00591448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nu sunt proprii întregului sistem judiciar</w:t>
      </w:r>
      <w:r w:rsidR="00457E74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,</w:t>
      </w:r>
      <w:r w:rsidR="00591448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 xml:space="preserve"> iar </w:t>
      </w:r>
      <w:r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dialogul cu magistrați</w:t>
      </w:r>
      <w:r w:rsidR="00591448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i</w:t>
      </w:r>
      <w:r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 xml:space="preserve"> și alți profesioniști ai dreptului pentru clarificarea tuturor aspectelor privind </w:t>
      </w:r>
      <w:r w:rsidR="0092471F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exercițiul liber al profesiei de avocat</w:t>
      </w:r>
      <w:r w:rsidR="00591448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 xml:space="preserve"> nu trebuie suprimat</w:t>
      </w:r>
      <w:r w:rsidR="0092471F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.</w:t>
      </w:r>
    </w:p>
    <w:p w14:paraId="5831E893" w14:textId="5452C15C" w:rsidR="005D0FEC" w:rsidRPr="009D7E50" w:rsidRDefault="005D0FEC" w:rsidP="009A7572">
      <w:pPr>
        <w:pStyle w:val="NormalWeb"/>
        <w:spacing w:line="360" w:lineRule="auto"/>
        <w:jc w:val="both"/>
        <w:rPr>
          <w:rFonts w:asciiTheme="minorHAnsi" w:hAnsiTheme="minorHAnsi" w:cstheme="minorHAnsi"/>
          <w:lang w:val="ro-RO"/>
        </w:rPr>
      </w:pPr>
      <w:r w:rsidRPr="009D7E50">
        <w:rPr>
          <w:rFonts w:asciiTheme="minorHAnsi" w:hAnsiTheme="minorHAnsi" w:cstheme="minorHAnsi"/>
          <w:lang w:val="ro-RO"/>
        </w:rPr>
        <w:t>Comisia Permanentă va continua dezbaterea asupra problemei vulnerabilităților în exercitare</w:t>
      </w:r>
      <w:r w:rsidR="009D7E50" w:rsidRPr="009D7E50">
        <w:rPr>
          <w:rFonts w:asciiTheme="minorHAnsi" w:hAnsiTheme="minorHAnsi" w:cstheme="minorHAnsi"/>
          <w:lang w:val="ro-RO"/>
        </w:rPr>
        <w:t>a</w:t>
      </w:r>
      <w:r w:rsidRPr="009D7E50">
        <w:rPr>
          <w:rFonts w:asciiTheme="minorHAnsi" w:hAnsiTheme="minorHAnsi" w:cstheme="minorHAnsi"/>
          <w:lang w:val="ro-RO"/>
        </w:rPr>
        <w:t xml:space="preserve"> profesiei de avocat și a riscurilor asoci</w:t>
      </w:r>
      <w:r w:rsidR="009D7E50" w:rsidRPr="009D7E50">
        <w:rPr>
          <w:rFonts w:asciiTheme="minorHAnsi" w:hAnsiTheme="minorHAnsi" w:cstheme="minorHAnsi"/>
          <w:lang w:val="ro-RO"/>
        </w:rPr>
        <w:t>a</w:t>
      </w:r>
      <w:r w:rsidRPr="009D7E50">
        <w:rPr>
          <w:rFonts w:asciiTheme="minorHAnsi" w:hAnsiTheme="minorHAnsi" w:cstheme="minorHAnsi"/>
          <w:lang w:val="ro-RO"/>
        </w:rPr>
        <w:t xml:space="preserve">te activității de consultanță juridică astfel cum sunt reflectate și în motivarea deciziei în dosarul </w:t>
      </w:r>
      <w:r w:rsidR="009D7E50" w:rsidRPr="009D7E50">
        <w:rPr>
          <w:rFonts w:asciiTheme="minorHAnsi" w:hAnsiTheme="minorHAnsi" w:cstheme="minorHAnsi"/>
          <w:lang w:val="ro-RO"/>
        </w:rPr>
        <w:t>„</w:t>
      </w:r>
      <w:r w:rsidR="009A7572" w:rsidRPr="009D7E50">
        <w:rPr>
          <w:rFonts w:asciiTheme="minorHAnsi" w:hAnsiTheme="minorHAnsi" w:cstheme="minorHAnsi"/>
          <w:lang w:val="ro-RO"/>
        </w:rPr>
        <w:t xml:space="preserve">Ferma </w:t>
      </w:r>
      <w:r w:rsidRPr="009D7E50">
        <w:rPr>
          <w:rFonts w:asciiTheme="minorHAnsi" w:hAnsiTheme="minorHAnsi" w:cstheme="minorHAnsi"/>
          <w:lang w:val="ro-RO"/>
        </w:rPr>
        <w:t>Băneasa</w:t>
      </w:r>
      <w:r w:rsidR="009D7E50" w:rsidRPr="009D7E50">
        <w:rPr>
          <w:rFonts w:asciiTheme="minorHAnsi" w:hAnsiTheme="minorHAnsi" w:cstheme="minorHAnsi"/>
          <w:lang w:val="ro-RO"/>
        </w:rPr>
        <w:t>”</w:t>
      </w:r>
      <w:r w:rsidRPr="009D7E50">
        <w:rPr>
          <w:rFonts w:asciiTheme="minorHAnsi" w:hAnsiTheme="minorHAnsi" w:cstheme="minorHAnsi"/>
          <w:lang w:val="ro-RO"/>
        </w:rPr>
        <w:t>, în baza consultării în interiorul corpului profesional.</w:t>
      </w:r>
    </w:p>
    <w:p w14:paraId="1E63CCC7" w14:textId="77777777" w:rsidR="005D0FEC" w:rsidRPr="009D7E50" w:rsidRDefault="005D0FEC" w:rsidP="004F1D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Theme="minorHAnsi" w:hAnsiTheme="minorHAnsi" w:cstheme="minorHAnsi"/>
          <w:b w:val="0"/>
          <w:bCs w:val="0"/>
          <w:lang w:val="ro-RO"/>
        </w:rPr>
      </w:pPr>
    </w:p>
    <w:p w14:paraId="0E17BE1F" w14:textId="3D1E7F04" w:rsidR="008E7F54" w:rsidRPr="009D7E50" w:rsidRDefault="008E7F54" w:rsidP="004F1D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rFonts w:asciiTheme="minorHAnsi" w:hAnsiTheme="minorHAnsi" w:cstheme="minorHAnsi"/>
          <w:b w:val="0"/>
          <w:bCs w:val="0"/>
          <w:lang w:val="ro-RO"/>
        </w:rPr>
      </w:pPr>
      <w:r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Comisia P</w:t>
      </w:r>
      <w:r w:rsidR="007958D4"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e</w:t>
      </w:r>
      <w:r w:rsidRPr="009D7E50">
        <w:rPr>
          <w:rStyle w:val="Strong"/>
          <w:rFonts w:asciiTheme="minorHAnsi" w:hAnsiTheme="minorHAnsi" w:cstheme="minorHAnsi"/>
          <w:b w:val="0"/>
          <w:bCs w:val="0"/>
          <w:lang w:val="ro-RO"/>
        </w:rPr>
        <w:t>rmanentă a UNBR</w:t>
      </w:r>
    </w:p>
    <w:p w14:paraId="2B3FA5F9" w14:textId="77777777" w:rsidR="0083377A" w:rsidRPr="009D7E50" w:rsidRDefault="0083377A" w:rsidP="004F1DB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lang w:val="ro-RO"/>
        </w:rPr>
      </w:pPr>
    </w:p>
    <w:p w14:paraId="33B901B3" w14:textId="77777777" w:rsidR="00F8254D" w:rsidRPr="009D7E50" w:rsidRDefault="00F8254D" w:rsidP="004F1DBD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</w:p>
    <w:sectPr w:rsidR="00F8254D" w:rsidRPr="009D7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D6A1D"/>
    <w:multiLevelType w:val="hybridMultilevel"/>
    <w:tmpl w:val="F24E1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04179"/>
    <w:multiLevelType w:val="hybridMultilevel"/>
    <w:tmpl w:val="E4EA6326"/>
    <w:lvl w:ilvl="0" w:tplc="91D294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64"/>
    <w:rsid w:val="0023565E"/>
    <w:rsid w:val="0025292C"/>
    <w:rsid w:val="00257032"/>
    <w:rsid w:val="002610A6"/>
    <w:rsid w:val="003E6DC3"/>
    <w:rsid w:val="00457E74"/>
    <w:rsid w:val="004805E8"/>
    <w:rsid w:val="004A77A2"/>
    <w:rsid w:val="004F1DBD"/>
    <w:rsid w:val="00591448"/>
    <w:rsid w:val="005D0FEC"/>
    <w:rsid w:val="00674904"/>
    <w:rsid w:val="007958D4"/>
    <w:rsid w:val="007B7373"/>
    <w:rsid w:val="007C1B38"/>
    <w:rsid w:val="0083377A"/>
    <w:rsid w:val="00871C64"/>
    <w:rsid w:val="008E1A5D"/>
    <w:rsid w:val="008E7F54"/>
    <w:rsid w:val="0092471F"/>
    <w:rsid w:val="009452B2"/>
    <w:rsid w:val="009A7572"/>
    <w:rsid w:val="009D7E50"/>
    <w:rsid w:val="00A36AD1"/>
    <w:rsid w:val="00A93991"/>
    <w:rsid w:val="00B22506"/>
    <w:rsid w:val="00B40112"/>
    <w:rsid w:val="00B5343F"/>
    <w:rsid w:val="00C31FAF"/>
    <w:rsid w:val="00C80EC4"/>
    <w:rsid w:val="00CC7C13"/>
    <w:rsid w:val="00CF6A12"/>
    <w:rsid w:val="00D97D84"/>
    <w:rsid w:val="00DB24FF"/>
    <w:rsid w:val="00DB4F5B"/>
    <w:rsid w:val="00E316AA"/>
    <w:rsid w:val="00EB54F0"/>
    <w:rsid w:val="00F22330"/>
    <w:rsid w:val="00F67CF6"/>
    <w:rsid w:val="00F8254D"/>
    <w:rsid w:val="00FC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05C6"/>
  <w15:chartTrackingRefBased/>
  <w15:docId w15:val="{F0B44BA4-35DE-41A2-A57D-CF8A277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6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3377A"/>
    <w:rPr>
      <w:b/>
      <w:bCs/>
    </w:rPr>
  </w:style>
  <w:style w:type="character" w:styleId="Hyperlink">
    <w:name w:val="Hyperlink"/>
    <w:basedOn w:val="DefaultParagraphFont"/>
    <w:uiPriority w:val="99"/>
    <w:unhideWhenUsed/>
    <w:rsid w:val="0083377A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37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3377A"/>
    <w:rPr>
      <w:rFonts w:cs="Times New Roman"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2529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E7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F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F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F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r.ro/wp-content/uploads/2021/01/04-Rezolutia-2348-principii-si-garantii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br.ro/wp-content/uploads/2021/01/02-Raport-principii-si-garantii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br.ro/wp-content/uploads/2021/01/02-Raport-principii-si-garantii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nbr.ro/wp-content/uploads/2021/01/02-Raport-principii-si-garantii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br.ro/wp-content/uploads/2021/01/04-Rezolutia-2348-principii-si-garantii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929</Words>
  <Characters>5296</Characters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2021-04-11T11:44:00Z</dcterms:created>
  <dcterms:modified xsi:type="dcterms:W3CDTF">2021-04-11T11:48:00Z</dcterms:modified>
</cp:coreProperties>
</file>