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0046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 xml:space="preserve">ES Klaus </w:t>
      </w:r>
      <w:proofErr w:type="spellStart"/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Iohannis</w:t>
      </w:r>
      <w:proofErr w:type="spellEnd"/>
    </w:p>
    <w:p w14:paraId="2C3E4630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Președinte al României</w:t>
      </w:r>
    </w:p>
    <w:p w14:paraId="6C176F97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Palatul Cotroceni 1-3, B-dul Geniului</w:t>
      </w:r>
    </w:p>
    <w:p w14:paraId="5A20E333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Sector 6, 060116 , București</w:t>
      </w:r>
    </w:p>
    <w:p w14:paraId="3AB8F25F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România</w:t>
      </w:r>
    </w:p>
    <w:p w14:paraId="6436EDFE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E-mail: </w:t>
      </w:r>
      <w:hyperlink r:id="rId7" w:history="1">
        <w:r w:rsidRPr="00BA1315">
          <w:rPr>
            <w:rFonts w:eastAsia="Times New Roman" w:cstheme="minorHAnsi"/>
            <w:color w:val="0000FF"/>
            <w:sz w:val="24"/>
            <w:szCs w:val="24"/>
            <w:u w:val="single"/>
            <w:lang w:eastAsia="ro-RO"/>
          </w:rPr>
          <w:t>procetatean@presidency.ro</w:t>
        </w:r>
      </w:hyperlink>
    </w:p>
    <w:p w14:paraId="2A550E0E" w14:textId="77777777" w:rsidR="00BA1315" w:rsidRPr="00BA1315" w:rsidRDefault="00BA1315" w:rsidP="00A43083">
      <w:pPr>
        <w:spacing w:after="0" w:line="240" w:lineRule="auto"/>
        <w:ind w:left="5387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>Amsterdam, 14 iunie 2021</w:t>
      </w:r>
    </w:p>
    <w:p w14:paraId="31D58CC2" w14:textId="77777777" w:rsidR="00BA1315" w:rsidRPr="007202D7" w:rsidRDefault="00BA1315" w:rsidP="00BA13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1C08EE54" w14:textId="3CAF0E8D" w:rsidR="00BA1315" w:rsidRPr="00BA1315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 xml:space="preserve">Re: Condamnarea și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trimiterea în închisoare a</w:t>
      </w:r>
      <w:r w:rsidRPr="00BA1315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avocatului Robert Roșu</w:t>
      </w:r>
    </w:p>
    <w:p w14:paraId="55661083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654C53F" w14:textId="4E96225D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proofErr w:type="spellStart"/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Lawyers</w:t>
      </w:r>
      <w:proofErr w:type="spellEnd"/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for </w:t>
      </w:r>
      <w:proofErr w:type="spellStart"/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Lawyers</w:t>
      </w:r>
      <w:proofErr w:type="spellEnd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(„L4L”) este o fundație olandeză apolitică și independentă care are ca scop promovarea unei bune funcționari a statului de drept prin respectarea libertății și independenței profesiei de avocat. Fundația L4L a primit statutul de consultant special în cadrul Consiliului Economic și Social al Organizației Națiunilor Unite în luna iulie 2013.</w:t>
      </w:r>
    </w:p>
    <w:p w14:paraId="3D9FCDC0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36A5130C" w14:textId="16EE6C51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Law Society of England </w:t>
      </w:r>
      <w:proofErr w:type="spellStart"/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and</w:t>
      </w:r>
      <w:proofErr w:type="spellEnd"/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Wales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(„Law Society”) este organismul profesional care reprezintă peste 180.000 de avocați din Anglia și Wales. Preocupările Law Society includ apărarea independenței profesiei de avocat, a statului de drept și a drepturilor fundamentale ale omului peste tot în lume. Law Society deține un rol de consultant special în cadrul Consiliului Economic și Social al Organizației Națiunilor Unite din anul 2014.</w:t>
      </w:r>
    </w:p>
    <w:p w14:paraId="47027F9F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5E6C18A" w14:textId="34E25E7A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La 17 decembrie 2020, Înalta Curte de Casație și Justiție din România l-a gasit pe avocatul Robert Roșu vinovat de a fi participat la formarea unui grup infracțional organizat și de complicitate la abuz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serviciu, condamnându-l la 5 ani de închisoare. L4L și Law Society își exprimă îngrijorarea că această condamnare privește activitățile profesionale ale lui Robert Roșu ca avocat.</w:t>
      </w:r>
    </w:p>
    <w:p w14:paraId="16AAA5DB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7D91A83C" w14:textId="27464D16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Domnul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este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partener 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cadrul societ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 de avocatur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uca Zb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rcea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și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Asocia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 din Bucure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ti. Potrivit informa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iilor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pe care le-am primit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, dosarul penal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mpotriva dlui Ro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u este cel mai probabil legat de activit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ile sale profesionale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 cauza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Ferma B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neasa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”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, privind restituirea unor loturi importante de teren situate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nordul Bucure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tiului c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tre un mo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tenitor al regelui Carol al II-lea al Rom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niei.</w:t>
      </w:r>
    </w:p>
    <w:p w14:paraId="57F00A7E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1D9208C3" w14:textId="52686E25" w:rsidR="00BA1315" w:rsidRPr="007202D7" w:rsidRDefault="009A03BA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calitate de reprezentat legal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al acestuia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dl Ro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u a obtinut restituirea acestei propriet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a altora 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tre diferi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clien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cadrul unor proceduri administrative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. În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luna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decembrie 2015, dl Ro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u a fost pus sub acuzare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sub învinuirea de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a fi format un grup infrac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ional organizat, complicitate la abuz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serviciu, trafic de influen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sp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lare de bani, fiind arestat la domiciliu timp de trei luni.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Condamnarea dlui Ro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u este,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 opinia noastr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legat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de activitatea lui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ca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avocat; mai precis, de activitatea lui privind aceste dosare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. În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luna martie 2016, un judec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tor al Sec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iei Penale a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naltei Cur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de Justi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ie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Casa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ie a considerat 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iunile domnului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se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ncadreaz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n limitele normale ale activit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ilor desf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ăș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urate de un avocat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”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. Pe 11 martie 2016, dl Ro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u a fost eliberat din arestul la domiciliu.</w:t>
      </w:r>
    </w:p>
    <w:p w14:paraId="57E41337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3C74DB5E" w14:textId="23D36A5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Cu toate acestea, Direc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ia Na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ional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Anticorup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ie (DNA) a decis c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urm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rirea penala a dlui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trebuie s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continue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l-a trimis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judecat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ă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luna mai 2016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În luna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iunie 2019, Curtea de Apel Bra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ov l-a achitat pe dl Ro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u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cu privire la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toate acuza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iile, stabilind c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nu exist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niciun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lastRenderedPageBreak/>
        <w:t>indiciu c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dl Ro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u ar fi comis faptele pentru care fusese trimis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judecat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9A03BA" w:rsidRPr="007202D7">
        <w:rPr>
          <w:rStyle w:val="FootnoteReference"/>
          <w:rFonts w:eastAsia="Times New Roman" w:cstheme="minorHAnsi"/>
          <w:color w:val="000000"/>
          <w:sz w:val="24"/>
          <w:szCs w:val="24"/>
          <w:lang w:eastAsia="ro-RO"/>
        </w:rPr>
        <w:footnoteReference w:id="1"/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DNA a decis s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formuleze apel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mpotriva sentin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ei pronun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ate de Curtea de Apel Bra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ov la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nalta Curte de Casa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ie 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Justi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ie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opinia procurorilor DNA, dl Ro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u s-ar face vinovat penal pentru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simpla prezen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ță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”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al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turi de client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fa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a unei comisii de restituire imobiliar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pentru c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 utilizat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un volum important de informa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 privind terminologi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a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juridic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ă”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pentru c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 fost excesiv de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conving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tor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”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sus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inerile sale</w:t>
      </w:r>
      <w:r w:rsidR="006E432C">
        <w:rPr>
          <w:rStyle w:val="FootnoteReference"/>
          <w:rFonts w:eastAsia="Times New Roman" w:cstheme="minorHAnsi"/>
          <w:color w:val="000000"/>
          <w:sz w:val="24"/>
          <w:szCs w:val="24"/>
          <w:lang w:eastAsia="ro-RO"/>
        </w:rPr>
        <w:footnoteReference w:id="2"/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.</w:t>
      </w:r>
    </w:p>
    <w:p w14:paraId="3B9CD3DF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0A78EAA8" w14:textId="32279302" w:rsidR="00BA1315" w:rsidRPr="007202D7" w:rsidRDefault="007202D7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La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17 decembrie 2020,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Înalta Curte de Justiție și Casație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l-a g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sit pe domnul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vinovat cu privire la acuza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iile de organizare a unui grup infrac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ional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complicitate la abuz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serviciu, condamn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ndu-l la cinci ani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nchisoare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În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acest moment, dl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isi execut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pedeapsa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Penitenciarul Rahova.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La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7 aprilie 2021, la patru luni dup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emiterea deciziei de condamnare,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Înalta Curte de Justiție și Casație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 publicat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comunicat,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cele din urmă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motivarea.</w:t>
      </w:r>
    </w:p>
    <w:p w14:paraId="5BCEDDEF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AB5239D" w14:textId="6C5777BC" w:rsidR="00BA1315" w:rsidRPr="007202D7" w:rsidRDefault="007202D7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ngrijorarea noastr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provine din faptul 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dl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 fost g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sit vinovat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condamnat la cinci ani de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nchisoare ca urmare a identific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rii cu clientul s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u</w:t>
      </w:r>
      <w:r w:rsidR="006E432C">
        <w:rPr>
          <w:rStyle w:val="FootnoteReference"/>
          <w:rFonts w:eastAsia="Times New Roman" w:cstheme="minorHAnsi"/>
          <w:color w:val="000000"/>
          <w:sz w:val="24"/>
          <w:szCs w:val="24"/>
          <w:lang w:eastAsia="ro-RO"/>
        </w:rPr>
        <w:footnoteReference w:id="3"/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iar anumite nereguli procedurale, cum ar fi aceea de a fi chema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avoca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ți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ca martori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proces</w:t>
      </w:r>
      <w:r w:rsidR="006E432C">
        <w:rPr>
          <w:rStyle w:val="FootnoteReference"/>
          <w:rFonts w:eastAsia="Times New Roman" w:cstheme="minorHAnsi"/>
          <w:color w:val="000000"/>
          <w:sz w:val="24"/>
          <w:szCs w:val="24"/>
          <w:lang w:eastAsia="ro-RO"/>
        </w:rPr>
        <w:footnoteReference w:id="4"/>
      </w:r>
      <w:r w:rsidR="00BA1315" w:rsidRPr="007202D7">
        <w:rPr>
          <w:rFonts w:eastAsia="Times New Roman" w:cstheme="minorHAnsi"/>
          <w:color w:val="000000"/>
          <w:sz w:val="24"/>
          <w:szCs w:val="24"/>
          <w:lang w:eastAsia="ro-RO"/>
        </w:rPr>
        <w:t>, sunt alarmante.</w:t>
      </w:r>
    </w:p>
    <w:p w14:paraId="00392E11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1CA9C86" w14:textId="3A45E6AE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Atragem aten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ia asupra Principiilor de baz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ale ONU privind rolul avoca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ilor</w:t>
      </w:r>
      <w:r w:rsidR="006E432C">
        <w:rPr>
          <w:rStyle w:val="FootnoteReference"/>
          <w:rFonts w:eastAsia="Times New Roman" w:cstheme="minorHAnsi"/>
          <w:color w:val="000000"/>
          <w:sz w:val="24"/>
          <w:szCs w:val="24"/>
          <w:lang w:eastAsia="ro-RO"/>
        </w:rPr>
        <w:footnoteReference w:id="5"/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– mai precis, asupra articolelor 16, 18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20, potrivit c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rora:</w:t>
      </w:r>
    </w:p>
    <w:p w14:paraId="0630C69C" w14:textId="77777777" w:rsidR="007202D7" w:rsidRPr="007202D7" w:rsidRDefault="007202D7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34E3A529" w14:textId="2CAADB84" w:rsidR="00BA1315" w:rsidRPr="007202D7" w:rsidRDefault="007202D7" w:rsidP="00BA131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„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16. Guvernele se asigur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ca avoca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 (a) sunt capabili s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îș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i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î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ndeplineasc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toate func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iile profesionale f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r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intimidare, piedic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, h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r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uire sau ingerin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improprie;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(...) și 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(c) nu sufer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sanc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iuni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și 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nici nu sunt amenin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a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 cu urm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rirea penal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sau cu sanc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iuni administrative, economice sau de alt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natura pentru orice ac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iune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întreprinsă în conformitate cu regulile și standardele profesionale și de etică recunoscute</w:t>
      </w:r>
      <w:r w:rsidR="00BA1315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. (...)</w:t>
      </w:r>
    </w:p>
    <w:p w14:paraId="1B4AA4FE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</w:pPr>
    </w:p>
    <w:p w14:paraId="19A86ED4" w14:textId="0995A525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18. Avoca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ii nu trebuie 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identificați cu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clien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ții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lor sau 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cu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cauzel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e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clien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ilor lor ca urmare a 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ndeplinirii func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iilor lor. (...)</w:t>
      </w:r>
    </w:p>
    <w:p w14:paraId="6DB08A96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</w:pPr>
    </w:p>
    <w:p w14:paraId="1F982FF9" w14:textId="25A66C56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20. Avoca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 beneficiaz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de imunitate civil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="007202D7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și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penal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pentru orice declara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ie relevant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f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cut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cu bun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-credin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ță</w:t>
      </w:r>
      <w:r w:rsidR="009A03BA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pledoariile scrise sau orale sau</w:t>
      </w:r>
      <w:r w:rsidR="009A03BA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apari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iile lor profesionale</w:t>
      </w:r>
      <w:r w:rsidR="009A03BA"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fa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a unei instan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e, a unui tribunal sau a altei autorit</w:t>
      </w:r>
      <w:r w:rsid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ăț</w:t>
      </w:r>
      <w:r w:rsidRPr="007202D7">
        <w:rPr>
          <w:rFonts w:eastAsia="Times New Roman" w:cstheme="minorHAnsi"/>
          <w:i/>
          <w:iCs/>
          <w:color w:val="000000"/>
          <w:sz w:val="24"/>
          <w:szCs w:val="24"/>
          <w:lang w:eastAsia="ro-RO"/>
        </w:rPr>
        <w:t>i juridice sau administrative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”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.</w:t>
      </w:r>
    </w:p>
    <w:p w14:paraId="2C751AD5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0D945A0E" w14:textId="334AF45E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lastRenderedPageBreak/>
        <w:t>Avand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vedere cele de mai sus, 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L4L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și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Law Society solicita respectuos autorit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ilor 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competente din România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:</w:t>
      </w:r>
    </w:p>
    <w:p w14:paraId="5D31E448" w14:textId="7158A232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- s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reanalizeze cazul domnului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Roșu și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s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resping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acuza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iile aduse acestuia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lipsa unor probe credibile prezentate</w:t>
      </w:r>
      <w:r w:rsidR="009A03BA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în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cadrul unor proceduri care s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respecte garan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iile interna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ionale ale unui proces echitabil;</w:t>
      </w:r>
    </w:p>
    <w:p w14:paraId="230A3EDB" w14:textId="60E79C52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- s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î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 elibereze pe domnul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pe durata acestei analize; </w:t>
      </w:r>
      <w:r w:rsidR="007202D7">
        <w:rPr>
          <w:rFonts w:eastAsia="Times New Roman" w:cstheme="minorHAnsi"/>
          <w:color w:val="000000"/>
          <w:sz w:val="24"/>
          <w:szCs w:val="24"/>
          <w:lang w:eastAsia="ro-RO"/>
        </w:rPr>
        <w:t>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</w:t>
      </w:r>
    </w:p>
    <w:p w14:paraId="2F1F7DA7" w14:textId="34B25AB9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- s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garanteze c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to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 avoca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 din Rom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nia, inclusiv domnul 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>Roșu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, 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îș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i pot 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 xml:space="preserve">exercita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profesia f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team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de intimidare, obstacole, h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r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uire, interven</w:t>
      </w:r>
      <w:r w:rsidR="006E432C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ii necuvenite sau represalii.</w:t>
      </w:r>
    </w:p>
    <w:p w14:paraId="662428FC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5164323" w14:textId="0CE232EB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Vom continua monitorizarea situa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iei din Romania, precum</w:t>
      </w:r>
      <w:r w:rsidR="007202D7"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situa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ia altor membri ai profesiei de avocat din aceast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ț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ar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.</w:t>
      </w:r>
    </w:p>
    <w:p w14:paraId="021A81B1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DEE0CF6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07412E9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0064172" w14:textId="00E630C1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Cu stim</w:t>
      </w:r>
      <w:r w:rsidR="00AD10AA">
        <w:rPr>
          <w:rFonts w:eastAsia="Times New Roman" w:cstheme="minorHAnsi"/>
          <w:color w:val="000000"/>
          <w:sz w:val="24"/>
          <w:szCs w:val="24"/>
          <w:lang w:eastAsia="ro-RO"/>
        </w:rPr>
        <w:t>ă</w:t>
      </w: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,</w:t>
      </w:r>
    </w:p>
    <w:p w14:paraId="4961BF42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45F320BE" w14:textId="77777777" w:rsidR="00BA1315" w:rsidRPr="007202D7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proofErr w:type="spellStart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Lawyers</w:t>
      </w:r>
      <w:proofErr w:type="spellEnd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for </w:t>
      </w:r>
      <w:proofErr w:type="spellStart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Lawyers</w:t>
      </w:r>
      <w:proofErr w:type="spellEnd"/>
    </w:p>
    <w:p w14:paraId="7A86D77A" w14:textId="19F448F7" w:rsidR="00BA1315" w:rsidRDefault="00BA1315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Law Society of England </w:t>
      </w:r>
      <w:proofErr w:type="spellStart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>and</w:t>
      </w:r>
      <w:proofErr w:type="spellEnd"/>
      <w:r w:rsidRPr="007202D7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Wales</w:t>
      </w:r>
    </w:p>
    <w:p w14:paraId="4B9FFAE4" w14:textId="1122C4C2" w:rsidR="00AD10AA" w:rsidRDefault="00AD10AA" w:rsidP="00BA13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71EF8D2" w14:textId="7A1C59CB" w:rsid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Spre știință </w:t>
      </w:r>
    </w:p>
    <w:p w14:paraId="2CADAF0B" w14:textId="77777777" w:rsid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7F071BDC" w14:textId="35992EA1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>Excelenței sale dl.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Florin-Vasile </w:t>
      </w:r>
      <w:proofErr w:type="spellStart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Cîțu</w:t>
      </w:r>
      <w:proofErr w:type="spellEnd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,</w:t>
      </w:r>
    </w:p>
    <w:p w14:paraId="4EC4B272" w14:textId="7D449F6C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>Prim-ministru</w:t>
      </w:r>
    </w:p>
    <w:p w14:paraId="6AFE8C10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Palatul Victoria Nr. 1</w:t>
      </w:r>
    </w:p>
    <w:p w14:paraId="42503B0C" w14:textId="53D4DB3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Sector 1, 011791, 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București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, Rom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nia </w:t>
      </w:r>
    </w:p>
    <w:p w14:paraId="1AF6114E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Email: pm@gov.ro</w:t>
      </w:r>
    </w:p>
    <w:p w14:paraId="6EB5A77A" w14:textId="77777777" w:rsid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D029DEC" w14:textId="572DAA89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Excelenței sale 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Stelian-Cristian Ion</w:t>
      </w:r>
    </w:p>
    <w:p w14:paraId="1871569B" w14:textId="7222EFA5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>Ministrul Justiției</w:t>
      </w:r>
    </w:p>
    <w:p w14:paraId="4F143320" w14:textId="7DDC2075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Str. 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Apolodor Nr.17</w:t>
      </w:r>
    </w:p>
    <w:p w14:paraId="54FA4304" w14:textId="5FACFBA6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Sector 5, 030167, 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București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, Rom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nia</w:t>
      </w:r>
    </w:p>
    <w:p w14:paraId="1FE9DBFA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Email: cabinet.ministru@just.ro</w:t>
      </w:r>
    </w:p>
    <w:p w14:paraId="5DE45C5D" w14:textId="77777777" w:rsid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69A8D265" w14:textId="6874A4D5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Excelenței sale 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Mihai-Bogdan Mateescu </w:t>
      </w:r>
    </w:p>
    <w:p w14:paraId="0C9C5EF6" w14:textId="3FFE9B66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Președintele Consiliului Superior al Magistraturii </w:t>
      </w:r>
    </w:p>
    <w:p w14:paraId="65F3B6EA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Calea Plevnei Nr. 141B</w:t>
      </w:r>
    </w:p>
    <w:p w14:paraId="51BD2E03" w14:textId="71CCE8FD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Sector 6, 060011, 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București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, Rom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>â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nia</w:t>
      </w:r>
    </w:p>
    <w:p w14:paraId="619AFE5B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Email: secretar_general@csm1909.ro</w:t>
      </w:r>
    </w:p>
    <w:p w14:paraId="457EC862" w14:textId="77777777" w:rsid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</w:p>
    <w:p w14:paraId="121CDE06" w14:textId="0456CE33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>Dlui</w:t>
      </w: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Diego </w:t>
      </w:r>
      <w:proofErr w:type="spellStart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García-Sayán</w:t>
      </w:r>
      <w:proofErr w:type="spellEnd"/>
    </w:p>
    <w:p w14:paraId="787E5468" w14:textId="68182EBD" w:rsidR="00AD10AA" w:rsidRPr="00AD10AA" w:rsidRDefault="0099172C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>
        <w:rPr>
          <w:rFonts w:eastAsia="Times New Roman" w:cstheme="minorHAnsi"/>
          <w:color w:val="000000"/>
          <w:sz w:val="24"/>
          <w:szCs w:val="24"/>
          <w:lang w:eastAsia="ro-RO"/>
        </w:rPr>
        <w:t>Raport</w:t>
      </w:r>
      <w:r w:rsidR="009F0446">
        <w:rPr>
          <w:rFonts w:eastAsia="Times New Roman" w:cstheme="minorHAnsi"/>
          <w:color w:val="000000"/>
          <w:sz w:val="24"/>
          <w:szCs w:val="24"/>
          <w:lang w:eastAsia="ro-RO"/>
        </w:rPr>
        <w:t>or</w:t>
      </w:r>
      <w:r>
        <w:rPr>
          <w:rFonts w:eastAsia="Times New Roman" w:cstheme="minorHAnsi"/>
          <w:color w:val="000000"/>
          <w:sz w:val="24"/>
          <w:szCs w:val="24"/>
          <w:lang w:eastAsia="ro-RO"/>
        </w:rPr>
        <w:t xml:space="preserve"> special cu privire la independența Judecătorilor și Avocaților </w:t>
      </w:r>
    </w:p>
    <w:p w14:paraId="21791DE2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OHCHR-UNOG, 8-14, </w:t>
      </w:r>
      <w:proofErr w:type="spellStart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Avenue</w:t>
      </w:r>
      <w:proofErr w:type="spellEnd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Paix</w:t>
      </w:r>
      <w:proofErr w:type="spellEnd"/>
    </w:p>
    <w:p w14:paraId="3E7C2392" w14:textId="77777777" w:rsidR="00AD10AA" w:rsidRPr="00AD10AA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1211 Geneve 10, Switzerland</w:t>
      </w:r>
    </w:p>
    <w:p w14:paraId="7DE3008B" w14:textId="3B6D61EB" w:rsidR="00AD10AA" w:rsidRPr="007202D7" w:rsidRDefault="00AD10AA" w:rsidP="00AD10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AD10AA">
        <w:rPr>
          <w:rFonts w:eastAsia="Times New Roman" w:cstheme="minorHAnsi"/>
          <w:color w:val="000000"/>
          <w:sz w:val="24"/>
          <w:szCs w:val="24"/>
          <w:lang w:eastAsia="ro-RO"/>
        </w:rPr>
        <w:t>Email: SRindependenceJL@ohchr.or</w:t>
      </w:r>
    </w:p>
    <w:sectPr w:rsidR="00AD10AA" w:rsidRPr="007202D7" w:rsidSect="0099172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8732" w14:textId="77777777" w:rsidR="005F280E" w:rsidRDefault="005F280E" w:rsidP="009A03BA">
      <w:pPr>
        <w:spacing w:after="0" w:line="240" w:lineRule="auto"/>
      </w:pPr>
      <w:r>
        <w:separator/>
      </w:r>
    </w:p>
  </w:endnote>
  <w:endnote w:type="continuationSeparator" w:id="0">
    <w:p w14:paraId="7451AFDD" w14:textId="77777777" w:rsidR="005F280E" w:rsidRDefault="005F280E" w:rsidP="009A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1384" w14:textId="77777777" w:rsidR="005F280E" w:rsidRDefault="005F280E" w:rsidP="009A03BA">
      <w:pPr>
        <w:spacing w:after="0" w:line="240" w:lineRule="auto"/>
      </w:pPr>
      <w:r>
        <w:separator/>
      </w:r>
    </w:p>
  </w:footnote>
  <w:footnote w:type="continuationSeparator" w:id="0">
    <w:p w14:paraId="710CCAB8" w14:textId="77777777" w:rsidR="005F280E" w:rsidRDefault="005F280E" w:rsidP="009A03BA">
      <w:pPr>
        <w:spacing w:after="0" w:line="240" w:lineRule="auto"/>
      </w:pPr>
      <w:r>
        <w:continuationSeparator/>
      </w:r>
    </w:p>
  </w:footnote>
  <w:footnote w:id="1">
    <w:p w14:paraId="0F896363" w14:textId="2B15C225" w:rsidR="009A03BA" w:rsidRDefault="009A03BA" w:rsidP="006E4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A03BA">
        <w:t xml:space="preserve">Curtea a constatat ca </w:t>
      </w:r>
      <w:r>
        <w:t>„</w:t>
      </w:r>
      <w:r w:rsidRPr="009A03BA">
        <w:rPr>
          <w:i/>
          <w:iCs/>
        </w:rPr>
        <w:t xml:space="preserve">toate probele administrate în cursul urmăririi penale și în cursul cercetării judecătorești relevă faptul că inculpatul Robert Mihăiță Roșu a desfășurat o activitate normală de avocat al societății </w:t>
      </w:r>
      <w:proofErr w:type="spellStart"/>
      <w:r w:rsidRPr="009A03BA">
        <w:rPr>
          <w:i/>
          <w:iCs/>
        </w:rPr>
        <w:t>Reciplia</w:t>
      </w:r>
      <w:proofErr w:type="spellEnd"/>
      <w:r w:rsidRPr="009A03BA">
        <w:rPr>
          <w:i/>
          <w:iCs/>
        </w:rPr>
        <w:t xml:space="preserve"> SRL, fără să fi comis vreo faptă de pretindere ori de primire a unor bunuri în schimbul promisiunii că va interveni pe lângă funcționarii publici competenți să dispună restituirea bunurilor revendicate de inculpatul Al României Paul Philippe (...)”</w:t>
      </w:r>
      <w:r w:rsidRPr="009A03BA">
        <w:t xml:space="preserve"> – dosarul nr. 345/64/2016</w:t>
      </w:r>
    </w:p>
  </w:footnote>
  <w:footnote w:id="2">
    <w:p w14:paraId="00A35FFB" w14:textId="45CC9B12" w:rsidR="006E432C" w:rsidRDefault="006E432C" w:rsidP="006E4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idem</w:t>
      </w:r>
    </w:p>
  </w:footnote>
  <w:footnote w:id="3">
    <w:p w14:paraId="4BDBCEB5" w14:textId="6B425F86" w:rsidR="006E432C" w:rsidRDefault="006E432C" w:rsidP="006E4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 se vedea decizia penală nr. 382/A/17 decembrie 2020 a ICCJ, pag 352-358 preluata de la </w:t>
      </w:r>
      <w:hyperlink r:id="rId1" w:history="1">
        <w:r w:rsidRPr="009704E2">
          <w:rPr>
            <w:rStyle w:val="Hyperlink"/>
          </w:rPr>
          <w:t>https://www.clujust.ro/wp-content/uploads/2021/04/Motivare_ICCJ.pdf</w:t>
        </w:r>
      </w:hyperlink>
    </w:p>
  </w:footnote>
  <w:footnote w:id="4">
    <w:p w14:paraId="72996267" w14:textId="46E0D486" w:rsidR="006E432C" w:rsidRDefault="006E432C" w:rsidP="006E4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 se vedea decizia penală nr. 382/A/17 decembrie 2020 a ICCJ, pag 352-358 preluata de la </w:t>
      </w:r>
      <w:hyperlink r:id="rId2" w:history="1">
        <w:r w:rsidRPr="009704E2">
          <w:rPr>
            <w:rStyle w:val="Hyperlink"/>
          </w:rPr>
          <w:t>https://www.clujust.ro/wp-content/uploads/2021/04/Motivare_ICCJ.pdf</w:t>
        </w:r>
      </w:hyperlink>
    </w:p>
  </w:footnote>
  <w:footnote w:id="5">
    <w:p w14:paraId="26AF7E6C" w14:textId="00CD7255" w:rsidR="006E432C" w:rsidRDefault="006E432C" w:rsidP="006E43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E432C">
        <w:t>Principiile de baz</w:t>
      </w:r>
      <w:r>
        <w:t>ă</w:t>
      </w:r>
      <w:r w:rsidRPr="006E432C">
        <w:t xml:space="preserve"> ale ONU privind rolul avoca</w:t>
      </w:r>
      <w:r>
        <w:t>ț</w:t>
      </w:r>
      <w:r w:rsidRPr="006E432C">
        <w:t>ilor ofer</w:t>
      </w:r>
      <w:r>
        <w:t>ă</w:t>
      </w:r>
      <w:r w:rsidRPr="006E432C">
        <w:t xml:space="preserve"> o descriere concis</w:t>
      </w:r>
      <w:r>
        <w:t>ă</w:t>
      </w:r>
      <w:r w:rsidRPr="006E432C">
        <w:t xml:space="preserve"> a normelor interna</w:t>
      </w:r>
      <w:r>
        <w:t>ț</w:t>
      </w:r>
      <w:r w:rsidRPr="006E432C">
        <w:t>ionale privind principalele aspecte ale dreptului de a beneficia de asisten</w:t>
      </w:r>
      <w:r>
        <w:t>ță</w:t>
      </w:r>
      <w:r w:rsidRPr="006E432C">
        <w:t xml:space="preserve"> juridic</w:t>
      </w:r>
      <w:r>
        <w:t>ă</w:t>
      </w:r>
      <w:r w:rsidRPr="006E432C">
        <w:t xml:space="preserve"> independent</w:t>
      </w:r>
      <w:r>
        <w:t>ă</w:t>
      </w:r>
      <w:r w:rsidRPr="006E432C">
        <w:t>. Principiile de baz</w:t>
      </w:r>
      <w:r>
        <w:t>ă</w:t>
      </w:r>
      <w:r w:rsidRPr="006E432C">
        <w:t xml:space="preserve"> au fost adoptate </w:t>
      </w:r>
      <w:r>
        <w:t>î</w:t>
      </w:r>
      <w:r w:rsidRPr="006E432C">
        <w:t>n unanimitate de al optulea congres al Organiza</w:t>
      </w:r>
      <w:r>
        <w:t>ț</w:t>
      </w:r>
      <w:r w:rsidRPr="006E432C">
        <w:t>iei Na</w:t>
      </w:r>
      <w:r>
        <w:t>ț</w:t>
      </w:r>
      <w:r w:rsidRPr="006E432C">
        <w:t>iunilor Unite privind prevenirea criminalit</w:t>
      </w:r>
      <w:r>
        <w:t>ăț</w:t>
      </w:r>
      <w:r w:rsidRPr="006E432C">
        <w:t xml:space="preserve">ii </w:t>
      </w:r>
      <w:r>
        <w:t>ș</w:t>
      </w:r>
      <w:r w:rsidRPr="006E432C">
        <w:t>i tratamentele aplicate delincven</w:t>
      </w:r>
      <w:r>
        <w:t>ț</w:t>
      </w:r>
      <w:r w:rsidRPr="006E432C">
        <w:t xml:space="preserve">ilor </w:t>
      </w:r>
      <w:r>
        <w:t xml:space="preserve">desfășurat </w:t>
      </w:r>
      <w:r w:rsidRPr="006E432C">
        <w:t>la Havana, Cuba, la 7 septembrie 1990. Ulterior, Adunarea General</w:t>
      </w:r>
      <w:r>
        <w:t>ă</w:t>
      </w:r>
      <w:r w:rsidRPr="006E432C">
        <w:t xml:space="preserve"> ONU a inclus Principiile de baz</w:t>
      </w:r>
      <w:r>
        <w:t>ă</w:t>
      </w:r>
      <w:r w:rsidRPr="006E432C">
        <w:t xml:space="preserve"> </w:t>
      </w:r>
      <w:r>
        <w:t>î</w:t>
      </w:r>
      <w:r w:rsidRPr="006E432C">
        <w:t>n rezolu</w:t>
      </w:r>
      <w:r>
        <w:t>ț</w:t>
      </w:r>
      <w:r w:rsidRPr="006E432C">
        <w:t xml:space="preserve">ia sa privind „Drepturile omului </w:t>
      </w:r>
      <w:r>
        <w:t>î</w:t>
      </w:r>
      <w:r w:rsidRPr="006E432C">
        <w:t>n administrarea justi</w:t>
      </w:r>
      <w:r>
        <w:t>ț</w:t>
      </w:r>
      <w:r w:rsidRPr="006E432C">
        <w:t>iei”, care a fost adoptat</w:t>
      </w:r>
      <w:r>
        <w:t>ă</w:t>
      </w:r>
      <w:r w:rsidRPr="006E432C">
        <w:t xml:space="preserve"> f</w:t>
      </w:r>
      <w:r>
        <w:t>ă</w:t>
      </w:r>
      <w:r w:rsidRPr="006E432C">
        <w:t>r</w:t>
      </w:r>
      <w:r>
        <w:t>ă</w:t>
      </w:r>
      <w:r w:rsidRPr="006E432C">
        <w:t xml:space="preserve"> vot la 18 decembrie 1990 at</w:t>
      </w:r>
      <w:r>
        <w:t>â</w:t>
      </w:r>
      <w:r w:rsidRPr="006E432C">
        <w:t xml:space="preserve">t </w:t>
      </w:r>
      <w:r>
        <w:t>î</w:t>
      </w:r>
      <w:r w:rsidRPr="006E432C">
        <w:t>n sesiunea Celui de-al Treilea Comitet, c</w:t>
      </w:r>
      <w:r>
        <w:t>â</w:t>
      </w:r>
      <w:r w:rsidRPr="006E432C">
        <w:t xml:space="preserve">t </w:t>
      </w:r>
      <w:r>
        <w:t>ș</w:t>
      </w:r>
      <w:r w:rsidRPr="006E432C">
        <w:t xml:space="preserve">i </w:t>
      </w:r>
      <w:r>
        <w:t>î</w:t>
      </w:r>
      <w:r w:rsidRPr="006E432C">
        <w:t>n sesiunea plenar</w:t>
      </w:r>
      <w:r>
        <w:t>ă</w:t>
      </w:r>
      <w:r w:rsidRPr="006E432C">
        <w:t xml:space="preserve"> a Adun</w:t>
      </w:r>
      <w:r>
        <w:t>ă</w:t>
      </w:r>
      <w:r w:rsidRPr="006E432C">
        <w:t>rii Generale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15"/>
    <w:rsid w:val="000151AE"/>
    <w:rsid w:val="003568D4"/>
    <w:rsid w:val="005E6F1D"/>
    <w:rsid w:val="005F280E"/>
    <w:rsid w:val="006E432C"/>
    <w:rsid w:val="006F48FC"/>
    <w:rsid w:val="007202D7"/>
    <w:rsid w:val="007A3661"/>
    <w:rsid w:val="0099172C"/>
    <w:rsid w:val="009A03BA"/>
    <w:rsid w:val="009F0446"/>
    <w:rsid w:val="00A43083"/>
    <w:rsid w:val="00AD10AA"/>
    <w:rsid w:val="00B77725"/>
    <w:rsid w:val="00BA1315"/>
    <w:rsid w:val="00E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7B0"/>
  <w15:chartTrackingRefBased/>
  <w15:docId w15:val="{13A6CEE5-9E95-4169-8744-B816027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1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3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tatean@presidency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ujust.ro/wp-content/uploads/2021/04/Motivare_ICCJ.pdf" TargetMode="External"/><Relationship Id="rId1" Type="http://schemas.openxmlformats.org/officeDocument/2006/relationships/hyperlink" Target="https://www.clujust.ro/wp-content/uploads/2021/04/Motivare_ICCJ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8605-7907-4CF5-B95D-0A07A27B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979</Words>
  <Characters>5682</Characters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2021-06-18T12:40:00Z</dcterms:created>
  <dcterms:modified xsi:type="dcterms:W3CDTF">2021-06-19T06:15:00Z</dcterms:modified>
</cp:coreProperties>
</file>