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7E1D" w14:textId="77777777" w:rsidR="00480505" w:rsidRPr="00383AF6" w:rsidRDefault="00480505" w:rsidP="009D43E1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5A8B1DC3" w14:textId="77777777" w:rsidR="00480505" w:rsidRPr="00383AF6" w:rsidRDefault="00480505" w:rsidP="009D43E1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2930D7B1" w14:textId="77777777" w:rsidR="0001422A" w:rsidRPr="00C4712E" w:rsidRDefault="0001422A" w:rsidP="00C4712E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83F12F8" w14:textId="77777777" w:rsidR="009A3F0A" w:rsidRDefault="00505143" w:rsidP="009A3F0A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4712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7379F6" w:rsidRPr="00C4712E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</w:t>
      </w:r>
      <w:r w:rsidR="009A3F0A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194</w:t>
      </w:r>
    </w:p>
    <w:p w14:paraId="1D3B8234" w14:textId="2006943E" w:rsidR="00480505" w:rsidRDefault="009A3F0A" w:rsidP="009A3F0A">
      <w:pPr>
        <w:spacing w:line="276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9A3F0A">
        <w:rPr>
          <w:rFonts w:ascii="Times New Roman" w:hAnsi="Times New Roman"/>
          <w:b/>
          <w:bCs/>
          <w:i/>
          <w:sz w:val="28"/>
          <w:szCs w:val="28"/>
        </w:rPr>
        <w:t>10-11 septembrie 2021</w:t>
      </w:r>
      <w:r w:rsidR="00FB073A" w:rsidRPr="009A3F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14:paraId="7E683F96" w14:textId="77777777" w:rsidR="0024709E" w:rsidRPr="00C4712E" w:rsidRDefault="0024709E" w:rsidP="00C4712E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1775E5EB" w14:textId="0E2645F5" w:rsidR="0063571C" w:rsidRDefault="00383AF6" w:rsidP="009D43E1">
      <w:pPr>
        <w:spacing w:line="276" w:lineRule="auto"/>
        <w:jc w:val="both"/>
        <w:rPr>
          <w:rFonts w:ascii="Times New Roman" w:hAnsi="Times New Roman"/>
          <w:i/>
        </w:rPr>
      </w:pPr>
      <w:r w:rsidRPr="00403B00">
        <w:rPr>
          <w:rFonts w:ascii="Times New Roman" w:hAnsi="Times New Roman"/>
        </w:rPr>
        <w:tab/>
      </w:r>
      <w:r w:rsidR="00BD6200">
        <w:rPr>
          <w:rFonts w:ascii="Times New Roman" w:hAnsi="Times New Roman"/>
          <w:i/>
        </w:rPr>
        <w:t xml:space="preserve">În conformitate cu dispozițiile art. 65 lit. </w:t>
      </w:r>
      <w:r w:rsidR="00B0074E">
        <w:rPr>
          <w:rFonts w:ascii="Times New Roman" w:hAnsi="Times New Roman"/>
          <w:i/>
        </w:rPr>
        <w:t xml:space="preserve">c) și </w:t>
      </w:r>
      <w:r w:rsidR="00BD6200">
        <w:rPr>
          <w:rFonts w:ascii="Times New Roman" w:hAnsi="Times New Roman"/>
          <w:i/>
        </w:rPr>
        <w:t>s) din Legea 51/1995 privind organizarea și exercitarea profesiei de avocat, republicată</w:t>
      </w:r>
      <w:r w:rsidR="00036664">
        <w:rPr>
          <w:rFonts w:ascii="Times New Roman" w:hAnsi="Times New Roman"/>
          <w:i/>
        </w:rPr>
        <w:t xml:space="preserve"> și </w:t>
      </w:r>
      <w:r w:rsidR="00036664" w:rsidRPr="00B06B5F">
        <w:rPr>
          <w:rFonts w:ascii="Times New Roman" w:hAnsi="Times New Roman"/>
          <w:i/>
        </w:rPr>
        <w:t xml:space="preserve">art. </w:t>
      </w:r>
      <w:r w:rsidR="00036664">
        <w:rPr>
          <w:rFonts w:ascii="Times New Roman" w:hAnsi="Times New Roman"/>
          <w:i/>
        </w:rPr>
        <w:t>20 alin. (3)</w:t>
      </w:r>
      <w:r w:rsidR="00036664" w:rsidRPr="00B06B5F">
        <w:rPr>
          <w:rFonts w:ascii="Times New Roman" w:hAnsi="Times New Roman"/>
          <w:i/>
        </w:rPr>
        <w:t xml:space="preserve"> din </w:t>
      </w:r>
      <w:r w:rsidR="00036664">
        <w:rPr>
          <w:rFonts w:ascii="Times New Roman" w:hAnsi="Times New Roman"/>
          <w:i/>
        </w:rPr>
        <w:t xml:space="preserve">Legea 72/2016 </w:t>
      </w:r>
      <w:r w:rsidR="00036664" w:rsidRPr="00B23B56">
        <w:rPr>
          <w:rFonts w:ascii="Times New Roman" w:hAnsi="Times New Roman"/>
          <w:i/>
        </w:rPr>
        <w:t>privind sistemul de pensii și alte drepturi de as</w:t>
      </w:r>
      <w:r w:rsidR="00036664">
        <w:rPr>
          <w:rFonts w:ascii="Times New Roman" w:hAnsi="Times New Roman"/>
          <w:i/>
        </w:rPr>
        <w:t>igurări sociale ale avocaților</w:t>
      </w:r>
      <w:r w:rsidRPr="00403B00">
        <w:rPr>
          <w:rFonts w:ascii="Times New Roman" w:hAnsi="Times New Roman"/>
          <w:i/>
        </w:rPr>
        <w:t>;</w:t>
      </w:r>
    </w:p>
    <w:p w14:paraId="42FEC25C" w14:textId="3146A042" w:rsidR="00B0074E" w:rsidRDefault="00C52F70" w:rsidP="00C52F7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Ținând cont de </w:t>
      </w:r>
      <w:r w:rsidR="000066D0">
        <w:rPr>
          <w:rFonts w:ascii="Times New Roman" w:hAnsi="Times New Roman"/>
          <w:i/>
        </w:rPr>
        <w:t xml:space="preserve">necesitatea stabilirii unor </w:t>
      </w:r>
      <w:r w:rsidR="00B0074E">
        <w:rPr>
          <w:rFonts w:ascii="Times New Roman" w:hAnsi="Times New Roman"/>
          <w:i/>
        </w:rPr>
        <w:t xml:space="preserve">măsuri </w:t>
      </w:r>
      <w:r w:rsidR="000066D0">
        <w:rPr>
          <w:rFonts w:ascii="Times New Roman" w:hAnsi="Times New Roman"/>
          <w:i/>
        </w:rPr>
        <w:t xml:space="preserve">clare </w:t>
      </w:r>
      <w:r w:rsidR="00B0074E">
        <w:rPr>
          <w:rFonts w:ascii="Times New Roman" w:hAnsi="Times New Roman"/>
          <w:i/>
        </w:rPr>
        <w:t>în ce</w:t>
      </w:r>
      <w:r w:rsidR="00B42E43">
        <w:rPr>
          <w:rFonts w:ascii="Times New Roman" w:hAnsi="Times New Roman"/>
          <w:i/>
        </w:rPr>
        <w:t>ea ce</w:t>
      </w:r>
      <w:r w:rsidR="00B0074E">
        <w:rPr>
          <w:rFonts w:ascii="Times New Roman" w:hAnsi="Times New Roman"/>
          <w:i/>
        </w:rPr>
        <w:t xml:space="preserve"> privește</w:t>
      </w:r>
      <w:r w:rsidR="00B42E43">
        <w:rPr>
          <w:rFonts w:ascii="Times New Roman" w:hAnsi="Times New Roman"/>
          <w:i/>
        </w:rPr>
        <w:t xml:space="preserve"> </w:t>
      </w:r>
      <w:r w:rsidR="00B0074E">
        <w:rPr>
          <w:rFonts w:ascii="Times New Roman" w:hAnsi="Times New Roman"/>
          <w:i/>
        </w:rPr>
        <w:t>cot</w:t>
      </w:r>
      <w:r w:rsidR="00B42E43">
        <w:rPr>
          <w:rFonts w:ascii="Times New Roman" w:hAnsi="Times New Roman"/>
          <w:i/>
        </w:rPr>
        <w:t>a</w:t>
      </w:r>
      <w:r w:rsidR="00B0074E">
        <w:rPr>
          <w:rFonts w:ascii="Times New Roman" w:hAnsi="Times New Roman"/>
          <w:i/>
        </w:rPr>
        <w:t xml:space="preserve"> de contribuție </w:t>
      </w:r>
      <w:r w:rsidR="00841BEA">
        <w:rPr>
          <w:rFonts w:ascii="Times New Roman" w:hAnsi="Times New Roman"/>
          <w:i/>
        </w:rPr>
        <w:t>de</w:t>
      </w:r>
      <w:r w:rsidR="00B0074E">
        <w:rPr>
          <w:rFonts w:ascii="Times New Roman" w:hAnsi="Times New Roman"/>
          <w:i/>
        </w:rPr>
        <w:t xml:space="preserve"> asigurări sociale ce trebuie plătită de avocații care au beneficiat de indemnizațiile </w:t>
      </w:r>
      <w:r w:rsidR="00B0074E" w:rsidRPr="00B0074E">
        <w:rPr>
          <w:rFonts w:ascii="Times New Roman" w:hAnsi="Times New Roman"/>
          <w:i/>
        </w:rPr>
        <w:t>primite în baza O</w:t>
      </w:r>
      <w:r w:rsidR="00B0074E">
        <w:rPr>
          <w:rFonts w:ascii="Times New Roman" w:hAnsi="Times New Roman"/>
          <w:i/>
        </w:rPr>
        <w:t>.</w:t>
      </w:r>
      <w:r w:rsidR="00B0074E" w:rsidRPr="00B0074E">
        <w:rPr>
          <w:rFonts w:ascii="Times New Roman" w:hAnsi="Times New Roman"/>
          <w:i/>
        </w:rPr>
        <w:t>U</w:t>
      </w:r>
      <w:r w:rsidR="00B0074E">
        <w:rPr>
          <w:rFonts w:ascii="Times New Roman" w:hAnsi="Times New Roman"/>
          <w:i/>
        </w:rPr>
        <w:t>.</w:t>
      </w:r>
      <w:r w:rsidR="00B0074E" w:rsidRPr="00B0074E">
        <w:rPr>
          <w:rFonts w:ascii="Times New Roman" w:hAnsi="Times New Roman"/>
          <w:i/>
        </w:rPr>
        <w:t>G</w:t>
      </w:r>
      <w:r w:rsidR="00B0074E">
        <w:rPr>
          <w:rFonts w:ascii="Times New Roman" w:hAnsi="Times New Roman"/>
          <w:i/>
        </w:rPr>
        <w:t>. nr.</w:t>
      </w:r>
      <w:r w:rsidR="00B0074E" w:rsidRPr="00B0074E">
        <w:rPr>
          <w:rFonts w:ascii="Times New Roman" w:hAnsi="Times New Roman"/>
          <w:i/>
        </w:rPr>
        <w:t xml:space="preserve"> 30/2020 (din perioada stării de urgență) modificată și completată de O</w:t>
      </w:r>
      <w:r w:rsidR="00B0074E">
        <w:rPr>
          <w:rFonts w:ascii="Times New Roman" w:hAnsi="Times New Roman"/>
          <w:i/>
        </w:rPr>
        <w:t>.</w:t>
      </w:r>
      <w:r w:rsidR="00B0074E" w:rsidRPr="00B0074E">
        <w:rPr>
          <w:rFonts w:ascii="Times New Roman" w:hAnsi="Times New Roman"/>
          <w:i/>
        </w:rPr>
        <w:t>U</w:t>
      </w:r>
      <w:r w:rsidR="00B0074E">
        <w:rPr>
          <w:rFonts w:ascii="Times New Roman" w:hAnsi="Times New Roman"/>
          <w:i/>
        </w:rPr>
        <w:t>.</w:t>
      </w:r>
      <w:r w:rsidR="00B0074E" w:rsidRPr="00B0074E">
        <w:rPr>
          <w:rFonts w:ascii="Times New Roman" w:hAnsi="Times New Roman"/>
          <w:i/>
        </w:rPr>
        <w:t>G</w:t>
      </w:r>
      <w:r w:rsidR="00B0074E">
        <w:rPr>
          <w:rFonts w:ascii="Times New Roman" w:hAnsi="Times New Roman"/>
          <w:i/>
        </w:rPr>
        <w:t>. nr.</w:t>
      </w:r>
      <w:r w:rsidR="00B0074E" w:rsidRPr="00B0074E">
        <w:rPr>
          <w:rFonts w:ascii="Times New Roman" w:hAnsi="Times New Roman"/>
          <w:i/>
        </w:rPr>
        <w:t xml:space="preserve"> 53/2020</w:t>
      </w:r>
      <w:r w:rsidR="005C7894">
        <w:rPr>
          <w:rFonts w:ascii="Times New Roman" w:hAnsi="Times New Roman"/>
          <w:i/>
        </w:rPr>
        <w:t xml:space="preserve">, în lumina OUG nr. </w:t>
      </w:r>
      <w:r w:rsidR="005C7894" w:rsidRPr="005C7894">
        <w:rPr>
          <w:rFonts w:ascii="Times New Roman" w:hAnsi="Times New Roman"/>
          <w:i/>
        </w:rPr>
        <w:t xml:space="preserve">226/2020 privind unele măsuri fiscal bugetare şi pentru modificarea şi completarea unor acte normative </w:t>
      </w:r>
      <w:proofErr w:type="spellStart"/>
      <w:r w:rsidR="005C7894" w:rsidRPr="005C7894">
        <w:rPr>
          <w:rFonts w:ascii="Times New Roman" w:hAnsi="Times New Roman"/>
          <w:i/>
        </w:rPr>
        <w:t>şi</w:t>
      </w:r>
      <w:proofErr w:type="spellEnd"/>
      <w:r w:rsidR="005C7894" w:rsidRPr="005C7894">
        <w:rPr>
          <w:rFonts w:ascii="Times New Roman" w:hAnsi="Times New Roman"/>
          <w:i/>
        </w:rPr>
        <w:t xml:space="preserve"> prorogarea unor termen</w:t>
      </w:r>
      <w:r w:rsidR="008314B1">
        <w:rPr>
          <w:rFonts w:ascii="Times New Roman" w:hAnsi="Times New Roman"/>
          <w:i/>
        </w:rPr>
        <w:t>e</w:t>
      </w:r>
      <w:r w:rsidR="00B0074E">
        <w:rPr>
          <w:rFonts w:ascii="Times New Roman" w:hAnsi="Times New Roman"/>
          <w:i/>
        </w:rPr>
        <w:t>;</w:t>
      </w:r>
    </w:p>
    <w:p w14:paraId="6EAE9560" w14:textId="7D7EC72F" w:rsidR="00B0074E" w:rsidRDefault="00B0074E" w:rsidP="00C52F7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Luând act de </w:t>
      </w:r>
      <w:r w:rsidR="005C7894">
        <w:rPr>
          <w:rFonts w:ascii="Times New Roman" w:hAnsi="Times New Roman"/>
          <w:i/>
        </w:rPr>
        <w:t>faptul că, potrivit prevederil</w:t>
      </w:r>
      <w:r w:rsidR="008314B1">
        <w:rPr>
          <w:rFonts w:ascii="Times New Roman" w:hAnsi="Times New Roman"/>
          <w:i/>
        </w:rPr>
        <w:t>or</w:t>
      </w:r>
      <w:r w:rsidR="005C7894">
        <w:rPr>
          <w:rFonts w:ascii="Times New Roman" w:hAnsi="Times New Roman"/>
          <w:i/>
        </w:rPr>
        <w:t xml:space="preserve"> art. </w:t>
      </w:r>
      <w:r w:rsidR="005C7894" w:rsidRPr="005C7894">
        <w:rPr>
          <w:rFonts w:ascii="Times New Roman" w:hAnsi="Times New Roman"/>
          <w:i/>
        </w:rPr>
        <w:t xml:space="preserve">XIX alin. (4) din OUG </w:t>
      </w:r>
      <w:r w:rsidR="005C7894">
        <w:rPr>
          <w:rFonts w:ascii="Times New Roman" w:hAnsi="Times New Roman"/>
          <w:i/>
        </w:rPr>
        <w:t xml:space="preserve">nr. </w:t>
      </w:r>
      <w:r w:rsidR="005C7894" w:rsidRPr="005C7894">
        <w:rPr>
          <w:rFonts w:ascii="Times New Roman" w:hAnsi="Times New Roman"/>
          <w:i/>
        </w:rPr>
        <w:t>226/2020</w:t>
      </w:r>
      <w:r w:rsidR="005C7894">
        <w:rPr>
          <w:rFonts w:ascii="Times New Roman" w:hAnsi="Times New Roman"/>
          <w:i/>
        </w:rPr>
        <w:t xml:space="preserve">, avocații care au beneficiat de indemnizația sus menționată </w:t>
      </w:r>
      <w:r w:rsidR="005C7894" w:rsidRPr="005C7894">
        <w:rPr>
          <w:rFonts w:ascii="Times New Roman" w:hAnsi="Times New Roman"/>
          <w:i/>
        </w:rPr>
        <w:t>trebuie să plătească contribuția de asigurări sociale la sistemul propriu de pensii, în cotele prevăzute de Codul Fiscal, respectiv de 25%</w:t>
      </w:r>
      <w:r w:rsidR="005C7894">
        <w:rPr>
          <w:rFonts w:ascii="Times New Roman" w:hAnsi="Times New Roman"/>
          <w:i/>
        </w:rPr>
        <w:t>, care se c</w:t>
      </w:r>
      <w:r w:rsidR="005C7894" w:rsidRPr="005C7894">
        <w:rPr>
          <w:rFonts w:ascii="Times New Roman" w:hAnsi="Times New Roman"/>
          <w:i/>
        </w:rPr>
        <w:t>alculează separat de contribuția datorată pentru veniturile din profesie</w:t>
      </w:r>
      <w:r w:rsidR="005C7894">
        <w:rPr>
          <w:rFonts w:ascii="Times New Roman" w:hAnsi="Times New Roman"/>
          <w:i/>
        </w:rPr>
        <w:t>;</w:t>
      </w:r>
    </w:p>
    <w:p w14:paraId="6B4EE1BB" w14:textId="1D689683" w:rsidR="005C7894" w:rsidRDefault="005C7894" w:rsidP="00C52F70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Văzând că</w:t>
      </w:r>
      <w:r w:rsidR="009A3F0A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="009A3F0A">
        <w:rPr>
          <w:rFonts w:ascii="Times New Roman" w:hAnsi="Times New Roman"/>
          <w:i/>
        </w:rPr>
        <w:t xml:space="preserve">deși </w:t>
      </w:r>
      <w:r>
        <w:rPr>
          <w:rFonts w:ascii="Times New Roman" w:hAnsi="Times New Roman"/>
          <w:i/>
        </w:rPr>
        <w:t xml:space="preserve">au fost </w:t>
      </w:r>
      <w:r w:rsidRPr="005C7894">
        <w:rPr>
          <w:rFonts w:ascii="Times New Roman" w:hAnsi="Times New Roman"/>
          <w:i/>
        </w:rPr>
        <w:t>întreprins</w:t>
      </w:r>
      <w:r>
        <w:rPr>
          <w:rFonts w:ascii="Times New Roman" w:hAnsi="Times New Roman"/>
          <w:i/>
        </w:rPr>
        <w:t>e</w:t>
      </w:r>
      <w:r w:rsidRPr="005C7894">
        <w:rPr>
          <w:rFonts w:ascii="Times New Roman" w:hAnsi="Times New Roman"/>
          <w:i/>
        </w:rPr>
        <w:t xml:space="preserve"> demersuri susținute </w:t>
      </w:r>
      <w:r>
        <w:rPr>
          <w:rFonts w:ascii="Times New Roman" w:hAnsi="Times New Roman"/>
          <w:i/>
        </w:rPr>
        <w:t>de Casa de Asigurări a Avocaților (CAA),</w:t>
      </w:r>
      <w:r w:rsidRPr="005C7894">
        <w:rPr>
          <w:rFonts w:ascii="Times New Roman" w:hAnsi="Times New Roman"/>
          <w:i/>
        </w:rPr>
        <w:t xml:space="preserve"> atât la Ministerul de Finanțe</w:t>
      </w:r>
      <w:r w:rsidR="009A3F0A">
        <w:rPr>
          <w:rFonts w:ascii="Times New Roman" w:hAnsi="Times New Roman"/>
          <w:i/>
        </w:rPr>
        <w:t xml:space="preserve">, cât și </w:t>
      </w:r>
      <w:r w:rsidRPr="005C7894">
        <w:rPr>
          <w:rFonts w:ascii="Times New Roman" w:hAnsi="Times New Roman"/>
          <w:i/>
        </w:rPr>
        <w:t>la Agenția Națională de Administrare Fiscală</w:t>
      </w:r>
      <w:r w:rsidR="009A3F0A">
        <w:rPr>
          <w:rFonts w:ascii="Times New Roman" w:hAnsi="Times New Roman"/>
          <w:i/>
        </w:rPr>
        <w:t xml:space="preserve">, </w:t>
      </w:r>
      <w:r w:rsidRPr="005C7894">
        <w:rPr>
          <w:rFonts w:ascii="Times New Roman" w:hAnsi="Times New Roman"/>
          <w:i/>
        </w:rPr>
        <w:t xml:space="preserve">pentru clarificarea situației și aplicarea asupra acestor indemnizații a cotelor de contribuție prevăzute de Legea 72/2016 privind sistemul de pensii și alte drepturi de asigurări ale avocaților, </w:t>
      </w:r>
      <w:r>
        <w:rPr>
          <w:rFonts w:ascii="Times New Roman" w:hAnsi="Times New Roman"/>
          <w:i/>
        </w:rPr>
        <w:t xml:space="preserve">care prevede o cotă de contribuție sensibil mai mică (11%), </w:t>
      </w:r>
      <w:r w:rsidR="009A3F0A">
        <w:rPr>
          <w:rFonts w:ascii="Times New Roman" w:hAnsi="Times New Roman"/>
          <w:i/>
        </w:rPr>
        <w:t>acestea</w:t>
      </w:r>
      <w:r>
        <w:rPr>
          <w:rFonts w:ascii="Times New Roman" w:hAnsi="Times New Roman"/>
          <w:i/>
        </w:rPr>
        <w:t xml:space="preserve"> s-au soldat cu răspunsuri în sensul obligării</w:t>
      </w:r>
      <w:r w:rsidR="00995785">
        <w:rPr>
          <w:rFonts w:ascii="Times New Roman" w:hAnsi="Times New Roman"/>
          <w:i/>
        </w:rPr>
        <w:t>, potrivit legii, la plata cotei de 25%;</w:t>
      </w:r>
    </w:p>
    <w:p w14:paraId="522C24DF" w14:textId="4D5F108F" w:rsidR="009A3F0A" w:rsidRDefault="005C7894" w:rsidP="009A3F0A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Observând că</w:t>
      </w:r>
      <w:r w:rsidR="009A3F0A">
        <w:rPr>
          <w:rFonts w:ascii="Times New Roman" w:hAnsi="Times New Roman"/>
          <w:i/>
        </w:rPr>
        <w:t xml:space="preserve"> în contra diligențelor </w:t>
      </w:r>
      <w:r w:rsidR="0024709E">
        <w:rPr>
          <w:rFonts w:ascii="Times New Roman" w:hAnsi="Times New Roman"/>
          <w:i/>
        </w:rPr>
        <w:t>Uniunii Naționale a Barourilor din România (</w:t>
      </w:r>
      <w:r w:rsidR="009A3F0A">
        <w:rPr>
          <w:rFonts w:ascii="Times New Roman" w:hAnsi="Times New Roman"/>
          <w:i/>
        </w:rPr>
        <w:t>UNBR</w:t>
      </w:r>
      <w:r w:rsidR="0024709E">
        <w:rPr>
          <w:rFonts w:ascii="Times New Roman" w:hAnsi="Times New Roman"/>
          <w:i/>
        </w:rPr>
        <w:t>)</w:t>
      </w:r>
      <w:r w:rsidR="009A3F0A">
        <w:rPr>
          <w:rFonts w:ascii="Times New Roman" w:hAnsi="Times New Roman"/>
          <w:i/>
        </w:rPr>
        <w:t xml:space="preserve"> și CAA, </w:t>
      </w:r>
      <w:r>
        <w:rPr>
          <w:rFonts w:ascii="Times New Roman" w:hAnsi="Times New Roman"/>
          <w:i/>
        </w:rPr>
        <w:t xml:space="preserve"> Parlamentul </w:t>
      </w:r>
      <w:r w:rsidR="00995785">
        <w:rPr>
          <w:rFonts w:ascii="Times New Roman" w:hAnsi="Times New Roman"/>
          <w:i/>
        </w:rPr>
        <w:t xml:space="preserve">(Camera </w:t>
      </w:r>
      <w:r w:rsidR="00C4712E">
        <w:rPr>
          <w:rFonts w:ascii="Times New Roman" w:hAnsi="Times New Roman"/>
          <w:i/>
        </w:rPr>
        <w:t>D</w:t>
      </w:r>
      <w:r w:rsidR="00995785">
        <w:rPr>
          <w:rFonts w:ascii="Times New Roman" w:hAnsi="Times New Roman"/>
          <w:i/>
        </w:rPr>
        <w:t xml:space="preserve">eputaților, drept Cameră Decizională) </w:t>
      </w:r>
      <w:r w:rsidR="009A3F0A">
        <w:rPr>
          <w:rFonts w:ascii="Times New Roman" w:hAnsi="Times New Roman"/>
          <w:i/>
        </w:rPr>
        <w:t>a adoptat</w:t>
      </w:r>
      <w:r w:rsidR="00995785">
        <w:rPr>
          <w:rFonts w:ascii="Times New Roman" w:hAnsi="Times New Roman"/>
          <w:i/>
        </w:rPr>
        <w:t xml:space="preserve"> </w:t>
      </w:r>
      <w:bookmarkStart w:id="0" w:name="_Hlk72151354"/>
      <w:r w:rsidR="00995785">
        <w:rPr>
          <w:rFonts w:ascii="Times New Roman" w:hAnsi="Times New Roman"/>
          <w:i/>
        </w:rPr>
        <w:t xml:space="preserve">Proiectul de lege </w:t>
      </w:r>
      <w:r w:rsidR="00995785" w:rsidRPr="00995785">
        <w:rPr>
          <w:rFonts w:ascii="Times New Roman" w:hAnsi="Times New Roman"/>
          <w:i/>
        </w:rPr>
        <w:t>privind aprobarea Ordonanței de urgență a Guvernului nr. 53/2020 pentru modificarea și completarea unor acte normative privind măsuri de protecție socială determinate de răspândirea coronavirusului SARS-CoV-2</w:t>
      </w:r>
      <w:r w:rsidR="00995785">
        <w:rPr>
          <w:rFonts w:ascii="Times New Roman" w:hAnsi="Times New Roman"/>
          <w:i/>
        </w:rPr>
        <w:t xml:space="preserve"> </w:t>
      </w:r>
      <w:bookmarkEnd w:id="0"/>
      <w:r w:rsidR="00995785">
        <w:rPr>
          <w:rFonts w:ascii="Times New Roman" w:hAnsi="Times New Roman"/>
          <w:i/>
        </w:rPr>
        <w:t>(PL-x</w:t>
      </w:r>
      <w:r w:rsidR="00995785" w:rsidRPr="00995785">
        <w:rPr>
          <w:rFonts w:ascii="Times New Roman" w:hAnsi="Times New Roman"/>
          <w:i/>
        </w:rPr>
        <w:t xml:space="preserve"> nr. </w:t>
      </w:r>
      <w:bookmarkStart w:id="1" w:name="_Hlk72151325"/>
      <w:r w:rsidR="00995785" w:rsidRPr="00995785">
        <w:rPr>
          <w:rFonts w:ascii="Times New Roman" w:hAnsi="Times New Roman"/>
          <w:i/>
        </w:rPr>
        <w:t>284/2020</w:t>
      </w:r>
      <w:bookmarkEnd w:id="1"/>
      <w:r w:rsidR="000066D0">
        <w:rPr>
          <w:rFonts w:ascii="Times New Roman" w:hAnsi="Times New Roman"/>
          <w:i/>
        </w:rPr>
        <w:t xml:space="preserve">, devenit, după promulgare Legea nr. </w:t>
      </w:r>
      <w:r w:rsidR="000066D0" w:rsidRPr="000066D0">
        <w:rPr>
          <w:rFonts w:ascii="Times New Roman" w:hAnsi="Times New Roman"/>
          <w:i/>
        </w:rPr>
        <w:t>214/2021</w:t>
      </w:r>
      <w:r w:rsidR="00995785">
        <w:rPr>
          <w:rFonts w:ascii="Times New Roman" w:hAnsi="Times New Roman"/>
          <w:i/>
        </w:rPr>
        <w:t>), în care</w:t>
      </w:r>
      <w:r w:rsidR="009A3F0A">
        <w:rPr>
          <w:rFonts w:ascii="Times New Roman" w:hAnsi="Times New Roman"/>
          <w:i/>
        </w:rPr>
        <w:t xml:space="preserve"> se prevede că avocații</w:t>
      </w:r>
      <w:r w:rsidR="000066D0">
        <w:rPr>
          <w:rFonts w:ascii="Times New Roman" w:hAnsi="Times New Roman"/>
          <w:i/>
        </w:rPr>
        <w:t xml:space="preserve"> beneficiar</w:t>
      </w:r>
      <w:r w:rsidR="00B42E43">
        <w:rPr>
          <w:rFonts w:ascii="Times New Roman" w:hAnsi="Times New Roman"/>
          <w:i/>
        </w:rPr>
        <w:t>i</w:t>
      </w:r>
      <w:r w:rsidR="000066D0">
        <w:rPr>
          <w:rFonts w:ascii="Times New Roman" w:hAnsi="Times New Roman"/>
          <w:i/>
        </w:rPr>
        <w:t xml:space="preserve"> ai indemnizației de sprijin trebuie să plătească o cotă de contribuție de 25%</w:t>
      </w:r>
      <w:r w:rsidR="00B42E43">
        <w:rPr>
          <w:rFonts w:ascii="Times New Roman" w:hAnsi="Times New Roman"/>
          <w:i/>
        </w:rPr>
        <w:t xml:space="preserve"> la sistemul propriu</w:t>
      </w:r>
      <w:r w:rsidR="000066D0">
        <w:rPr>
          <w:rFonts w:ascii="Times New Roman" w:hAnsi="Times New Roman"/>
          <w:i/>
        </w:rPr>
        <w:t>;</w:t>
      </w:r>
    </w:p>
    <w:p w14:paraId="51954641" w14:textId="3CEBABA8" w:rsidR="009A3F0A" w:rsidRDefault="000066D0" w:rsidP="009A3F0A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Văzând prevederile Hotărârii Consiliului UNBR nr. </w:t>
      </w:r>
      <w:r w:rsidR="009A3F0A" w:rsidRPr="009A3F0A">
        <w:rPr>
          <w:rFonts w:ascii="Times New Roman" w:hAnsi="Times New Roman"/>
          <w:i/>
        </w:rPr>
        <w:t>153</w:t>
      </w:r>
      <w:r>
        <w:rPr>
          <w:rFonts w:ascii="Times New Roman" w:hAnsi="Times New Roman"/>
          <w:i/>
        </w:rPr>
        <w:t>/</w:t>
      </w:r>
      <w:r w:rsidR="009A3F0A" w:rsidRPr="009A3F0A">
        <w:rPr>
          <w:rFonts w:ascii="Times New Roman" w:hAnsi="Times New Roman"/>
          <w:i/>
        </w:rPr>
        <w:t>14-15 mai 2021</w:t>
      </w:r>
      <w:r>
        <w:rPr>
          <w:rFonts w:ascii="Times New Roman" w:hAnsi="Times New Roman"/>
          <w:i/>
        </w:rPr>
        <w:t xml:space="preserve">, potrivit căreia </w:t>
      </w:r>
      <w:r w:rsidRPr="000066D0">
        <w:rPr>
          <w:rFonts w:ascii="Times New Roman" w:hAnsi="Times New Roman"/>
          <w:i/>
        </w:rPr>
        <w:t xml:space="preserve">avocații care au beneficiat de indemnizația de sprijin au achitat cota de 11% prevăzută de Hotărârea Consiliului UNBR nr. 117/29-30 ianuarie 2021, urmând ca după adoptarea </w:t>
      </w:r>
      <w:r>
        <w:rPr>
          <w:rFonts w:ascii="Times New Roman" w:hAnsi="Times New Roman"/>
          <w:i/>
        </w:rPr>
        <w:t>proiectului de lege sus</w:t>
      </w:r>
      <w:r w:rsidRPr="000066D0">
        <w:rPr>
          <w:rFonts w:ascii="Times New Roman" w:hAnsi="Times New Roman"/>
          <w:i/>
        </w:rPr>
        <w:t xml:space="preserve"> menționat să se stabilească sumele de plată, în funcție de prevederile ce vor fi adoptate.</w:t>
      </w:r>
    </w:p>
    <w:p w14:paraId="71A7020E" w14:textId="1D80AD5F" w:rsidR="000066D0" w:rsidRDefault="000066D0" w:rsidP="009A3F0A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Ținând cont de propunerea </w:t>
      </w:r>
      <w:r w:rsidR="0024709E">
        <w:rPr>
          <w:rFonts w:ascii="Times New Roman" w:hAnsi="Times New Roman"/>
          <w:i/>
        </w:rPr>
        <w:t xml:space="preserve">și explicațiile </w:t>
      </w:r>
      <w:r>
        <w:rPr>
          <w:rFonts w:ascii="Times New Roman" w:hAnsi="Times New Roman"/>
          <w:i/>
        </w:rPr>
        <w:t>CAA și de dezbaterile din ședința din 10-11.09.2021,</w:t>
      </w:r>
    </w:p>
    <w:p w14:paraId="7520CBD2" w14:textId="77777777" w:rsidR="00C52F70" w:rsidRPr="002F247E" w:rsidRDefault="00C52F70" w:rsidP="00C52F70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>Consiliul U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>.</w:t>
      </w:r>
      <w:r w:rsidRPr="002F247E">
        <w:rPr>
          <w:rFonts w:ascii="Times New Roman" w:hAnsi="Times New Roman"/>
          <w:i/>
        </w:rPr>
        <w:t>, adoptă prezenta:</w:t>
      </w:r>
    </w:p>
    <w:p w14:paraId="2D1C1A8B" w14:textId="1A0F9431" w:rsidR="00383AF6" w:rsidRDefault="00383AF6" w:rsidP="00C4712E">
      <w:pPr>
        <w:jc w:val="center"/>
        <w:rPr>
          <w:rFonts w:ascii="Times New Roman" w:hAnsi="Times New Roman"/>
          <w:i/>
        </w:rPr>
      </w:pPr>
    </w:p>
    <w:p w14:paraId="05E25B20" w14:textId="6C87DA85" w:rsidR="00383AF6" w:rsidRDefault="00383AF6" w:rsidP="00C4712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32D70552" w14:textId="77777777" w:rsidR="0024709E" w:rsidRPr="0063571C" w:rsidRDefault="0024709E" w:rsidP="00C4712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37B8AD" w14:textId="03AC53A8" w:rsidR="00B722B5" w:rsidRDefault="00383AF6" w:rsidP="00B722B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403B00">
        <w:rPr>
          <w:rFonts w:ascii="Times New Roman" w:hAnsi="Times New Roman"/>
          <w:b/>
          <w:bCs/>
        </w:rPr>
        <w:t>Art. 1</w:t>
      </w:r>
      <w:r w:rsidRPr="00403B00">
        <w:rPr>
          <w:rFonts w:ascii="Times New Roman" w:hAnsi="Times New Roman"/>
          <w:bCs/>
        </w:rPr>
        <w:t xml:space="preserve"> </w:t>
      </w:r>
      <w:r w:rsidR="00312AC7" w:rsidRPr="00403B00">
        <w:rPr>
          <w:rFonts w:ascii="Times New Roman" w:hAnsi="Times New Roman"/>
          <w:b/>
          <w:bCs/>
        </w:rPr>
        <w:t xml:space="preserve">– </w:t>
      </w:r>
      <w:r w:rsidR="00F51266">
        <w:rPr>
          <w:rFonts w:ascii="Times New Roman" w:hAnsi="Times New Roman"/>
          <w:b/>
          <w:bCs/>
        </w:rPr>
        <w:t xml:space="preserve">(1) </w:t>
      </w:r>
      <w:r w:rsidR="00036664" w:rsidRPr="00036664">
        <w:rPr>
          <w:rFonts w:ascii="Times New Roman" w:hAnsi="Times New Roman"/>
        </w:rPr>
        <w:t>Avocații c</w:t>
      </w:r>
      <w:r w:rsidR="00036664">
        <w:rPr>
          <w:rFonts w:ascii="Times New Roman" w:hAnsi="Times New Roman"/>
        </w:rPr>
        <w:t>a</w:t>
      </w:r>
      <w:r w:rsidR="00036664" w:rsidRPr="00036664">
        <w:rPr>
          <w:rFonts w:ascii="Times New Roman" w:hAnsi="Times New Roman"/>
        </w:rPr>
        <w:t>re</w:t>
      </w:r>
      <w:r w:rsidR="00036664">
        <w:rPr>
          <w:rFonts w:ascii="Times New Roman" w:hAnsi="Times New Roman"/>
          <w:b/>
          <w:bCs/>
        </w:rPr>
        <w:t xml:space="preserve"> </w:t>
      </w:r>
      <w:r w:rsidR="00036664" w:rsidRPr="00036664">
        <w:rPr>
          <w:rFonts w:ascii="Times New Roman" w:hAnsi="Times New Roman"/>
        </w:rPr>
        <w:t>au beneficia</w:t>
      </w:r>
      <w:r w:rsidR="00036664">
        <w:rPr>
          <w:rFonts w:ascii="Times New Roman" w:hAnsi="Times New Roman"/>
        </w:rPr>
        <w:t>t</w:t>
      </w:r>
      <w:r w:rsidR="00036664" w:rsidRPr="00036664">
        <w:rPr>
          <w:rFonts w:ascii="Times New Roman" w:hAnsi="Times New Roman"/>
        </w:rPr>
        <w:t xml:space="preserve"> de i</w:t>
      </w:r>
      <w:r w:rsidR="00036664">
        <w:rPr>
          <w:rFonts w:ascii="Times New Roman" w:hAnsi="Times New Roman"/>
        </w:rPr>
        <w:t xml:space="preserve">ndemnizația de sprijin </w:t>
      </w:r>
      <w:r w:rsidR="00036664" w:rsidRPr="00036664">
        <w:rPr>
          <w:rFonts w:ascii="Times New Roman" w:hAnsi="Times New Roman"/>
        </w:rPr>
        <w:t>în baza O.U.G. nr. 30/2020</w:t>
      </w:r>
      <w:r w:rsidR="00036664">
        <w:rPr>
          <w:rFonts w:ascii="Times New Roman" w:hAnsi="Times New Roman"/>
        </w:rPr>
        <w:t xml:space="preserve"> </w:t>
      </w:r>
      <w:r w:rsidR="00036664" w:rsidRPr="00036664">
        <w:rPr>
          <w:rFonts w:ascii="Times New Roman" w:hAnsi="Times New Roman"/>
        </w:rPr>
        <w:t xml:space="preserve">(din perioada stării de urgență) modificată și completată de O.U.G. nr. 53/2020, </w:t>
      </w:r>
      <w:r w:rsidR="0024709E">
        <w:rPr>
          <w:rFonts w:ascii="Times New Roman" w:hAnsi="Times New Roman"/>
        </w:rPr>
        <w:t>trebuie să achite</w:t>
      </w:r>
      <w:r w:rsidR="00036664">
        <w:rPr>
          <w:rFonts w:ascii="Times New Roman" w:hAnsi="Times New Roman"/>
        </w:rPr>
        <w:t xml:space="preserve"> </w:t>
      </w:r>
      <w:r w:rsidR="0024709E">
        <w:rPr>
          <w:rFonts w:ascii="Times New Roman" w:hAnsi="Times New Roman"/>
        </w:rPr>
        <w:t xml:space="preserve">o </w:t>
      </w:r>
      <w:r w:rsidR="0024709E" w:rsidRPr="0024709E">
        <w:rPr>
          <w:rFonts w:ascii="Times New Roman" w:hAnsi="Times New Roman"/>
        </w:rPr>
        <w:t>cot</w:t>
      </w:r>
      <w:r w:rsidR="0024709E">
        <w:rPr>
          <w:rFonts w:ascii="Times New Roman" w:hAnsi="Times New Roman"/>
        </w:rPr>
        <w:t>ă</w:t>
      </w:r>
      <w:r w:rsidR="0024709E" w:rsidRPr="0024709E">
        <w:rPr>
          <w:rFonts w:ascii="Times New Roman" w:hAnsi="Times New Roman"/>
        </w:rPr>
        <w:t xml:space="preserve"> de contribuție </w:t>
      </w:r>
      <w:r w:rsidR="008314B1">
        <w:rPr>
          <w:rFonts w:ascii="Times New Roman" w:hAnsi="Times New Roman"/>
        </w:rPr>
        <w:t>de</w:t>
      </w:r>
      <w:r w:rsidR="0024709E" w:rsidRPr="0024709E">
        <w:rPr>
          <w:rFonts w:ascii="Times New Roman" w:hAnsi="Times New Roman"/>
        </w:rPr>
        <w:t xml:space="preserve"> asigurări sociale </w:t>
      </w:r>
      <w:r w:rsidR="0024709E">
        <w:rPr>
          <w:rFonts w:ascii="Times New Roman" w:hAnsi="Times New Roman"/>
        </w:rPr>
        <w:t>de 25%</w:t>
      </w:r>
      <w:r w:rsidR="008314B1">
        <w:rPr>
          <w:rFonts w:ascii="Times New Roman" w:hAnsi="Times New Roman"/>
        </w:rPr>
        <w:t xml:space="preserve"> asupra indemnizației primite</w:t>
      </w:r>
      <w:r w:rsidR="0024709E">
        <w:rPr>
          <w:rFonts w:ascii="Times New Roman" w:hAnsi="Times New Roman"/>
        </w:rPr>
        <w:t>.</w:t>
      </w:r>
    </w:p>
    <w:p w14:paraId="0522F134" w14:textId="1A885D37" w:rsidR="0024709E" w:rsidRDefault="00B722B5" w:rsidP="0024709E">
      <w:pPr>
        <w:spacing w:line="276" w:lineRule="auto"/>
        <w:ind w:firstLine="567"/>
        <w:jc w:val="both"/>
        <w:rPr>
          <w:rFonts w:ascii="Times New Roman" w:hAnsi="Times New Roman"/>
        </w:rPr>
      </w:pPr>
      <w:r w:rsidRPr="00C4712E">
        <w:rPr>
          <w:rFonts w:ascii="Times New Roman" w:hAnsi="Times New Roman"/>
          <w:b/>
          <w:bCs/>
        </w:rPr>
        <w:lastRenderedPageBreak/>
        <w:t>(2)</w:t>
      </w:r>
      <w:r>
        <w:rPr>
          <w:rFonts w:ascii="Times New Roman" w:hAnsi="Times New Roman"/>
        </w:rPr>
        <w:t xml:space="preserve"> </w:t>
      </w:r>
      <w:r w:rsidR="0024709E">
        <w:rPr>
          <w:rFonts w:ascii="Times New Roman" w:hAnsi="Times New Roman"/>
        </w:rPr>
        <w:t xml:space="preserve">Avocații aflați în situația menționată la alineatul (1) care au achitat la sistemul CAA cota de 11%, potrivit </w:t>
      </w:r>
      <w:r w:rsidR="0024709E" w:rsidRPr="0024709E">
        <w:rPr>
          <w:rFonts w:ascii="Times New Roman" w:hAnsi="Times New Roman"/>
        </w:rPr>
        <w:t>Hotărârii Consiliului UNBR nr. 153/14-15 mai 2021</w:t>
      </w:r>
      <w:r w:rsidR="0024709E">
        <w:rPr>
          <w:rFonts w:ascii="Times New Roman" w:hAnsi="Times New Roman"/>
        </w:rPr>
        <w:t>, vor plăti restul de 14% pentru fiecare lună în care au beneficiat de indemnizația de sprijin.</w:t>
      </w:r>
    </w:p>
    <w:p w14:paraId="6F7B54B3" w14:textId="051217FF" w:rsidR="00036664" w:rsidRDefault="0024709E" w:rsidP="00036664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4709E">
        <w:rPr>
          <w:rFonts w:ascii="Times New Roman" w:hAnsi="Times New Roman"/>
          <w:b/>
          <w:bCs/>
        </w:rPr>
        <w:t>(3)</w:t>
      </w:r>
      <w:r>
        <w:rPr>
          <w:rFonts w:ascii="Times New Roman" w:hAnsi="Times New Roman"/>
        </w:rPr>
        <w:t xml:space="preserve"> </w:t>
      </w:r>
      <w:r w:rsidR="000066D0">
        <w:rPr>
          <w:rFonts w:ascii="Times New Roman" w:hAnsi="Times New Roman"/>
        </w:rPr>
        <w:t xml:space="preserve">Nu se percep </w:t>
      </w:r>
      <w:r w:rsidR="008314B1">
        <w:rPr>
          <w:rFonts w:ascii="Times New Roman" w:hAnsi="Times New Roman"/>
        </w:rPr>
        <w:t xml:space="preserve">majorări de întârziere </w:t>
      </w:r>
      <w:r w:rsidR="000066D0">
        <w:rPr>
          <w:rFonts w:ascii="Times New Roman" w:hAnsi="Times New Roman"/>
        </w:rPr>
        <w:t>dacă plata restului de 14% se va efectua până la data de 31.12.2021</w:t>
      </w:r>
      <w:r>
        <w:rPr>
          <w:rFonts w:ascii="Times New Roman" w:hAnsi="Times New Roman"/>
        </w:rPr>
        <w:t>, inclusiv.</w:t>
      </w:r>
    </w:p>
    <w:p w14:paraId="1B3B9D16" w14:textId="3B594312" w:rsidR="0024709E" w:rsidRDefault="0024709E" w:rsidP="00036664">
      <w:pPr>
        <w:spacing w:line="276" w:lineRule="auto"/>
        <w:ind w:firstLine="567"/>
        <w:jc w:val="both"/>
        <w:rPr>
          <w:rFonts w:ascii="Times New Roman" w:hAnsi="Times New Roman"/>
        </w:rPr>
      </w:pPr>
      <w:r w:rsidRPr="0024709E">
        <w:rPr>
          <w:rFonts w:ascii="Times New Roman" w:hAnsi="Times New Roman"/>
          <w:b/>
          <w:bCs/>
        </w:rPr>
        <w:t>(4)</w:t>
      </w:r>
      <w:r>
        <w:rPr>
          <w:rFonts w:ascii="Times New Roman" w:hAnsi="Times New Roman"/>
        </w:rPr>
        <w:t xml:space="preserve"> I</w:t>
      </w:r>
      <w:r w:rsidRPr="0024709E">
        <w:rPr>
          <w:rFonts w:ascii="Times New Roman" w:hAnsi="Times New Roman"/>
        </w:rPr>
        <w:t>ndemnizația de sprijin reprezintă venit de înlocuire a activității exercitate de avocat și, ca urmare, contribuția de 25% se include în baza de calcul a pensiilor și a indemnizațiilor</w:t>
      </w:r>
      <w:r>
        <w:rPr>
          <w:rFonts w:ascii="Times New Roman" w:hAnsi="Times New Roman"/>
        </w:rPr>
        <w:t>.</w:t>
      </w:r>
    </w:p>
    <w:p w14:paraId="2618A21A" w14:textId="77777777" w:rsidR="00C4712E" w:rsidRPr="00036664" w:rsidRDefault="00C4712E" w:rsidP="00036664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7527E3A1" w14:textId="453F149D" w:rsidR="00A53550" w:rsidRDefault="008D1367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  <w:r w:rsidRPr="008D1367">
        <w:rPr>
          <w:rFonts w:ascii="Times New Roman" w:eastAsia="Times New Roman" w:hAnsi="Times New Roman"/>
          <w:b/>
          <w:lang w:eastAsia="en-US"/>
        </w:rPr>
        <w:t xml:space="preserve">Art. </w:t>
      </w:r>
      <w:r w:rsidR="00F51266">
        <w:rPr>
          <w:rFonts w:ascii="Times New Roman" w:eastAsia="Times New Roman" w:hAnsi="Times New Roman"/>
          <w:b/>
          <w:lang w:eastAsia="en-US"/>
        </w:rPr>
        <w:t>2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403B00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 w:rsidRPr="00B06B5F">
        <w:rPr>
          <w:rFonts w:ascii="Times New Roman" w:eastAsia="Times New Roman" w:hAnsi="Times New Roman"/>
          <w:lang w:eastAsia="en-US"/>
        </w:rPr>
        <w:t>Prezenta hotărâre se comunică</w:t>
      </w:r>
      <w:r w:rsidR="009D43E1">
        <w:rPr>
          <w:rFonts w:ascii="Times New Roman" w:eastAsia="Times New Roman" w:hAnsi="Times New Roman"/>
          <w:lang w:eastAsia="en-US"/>
        </w:rPr>
        <w:t xml:space="preserve"> </w:t>
      </w:r>
      <w:r w:rsidR="00547C92">
        <w:rPr>
          <w:rFonts w:ascii="Times New Roman" w:eastAsia="Times New Roman" w:hAnsi="Times New Roman"/>
          <w:lang w:eastAsia="en-US"/>
        </w:rPr>
        <w:t xml:space="preserve">membrilor </w:t>
      </w:r>
      <w:r w:rsidR="00F71649">
        <w:rPr>
          <w:rFonts w:ascii="Times New Roman" w:eastAsia="Times New Roman" w:hAnsi="Times New Roman"/>
          <w:lang w:eastAsia="en-US"/>
        </w:rPr>
        <w:t>C</w:t>
      </w:r>
      <w:r w:rsidR="009D43E1">
        <w:rPr>
          <w:rFonts w:ascii="Times New Roman" w:eastAsia="Times New Roman" w:hAnsi="Times New Roman"/>
          <w:lang w:eastAsia="en-US"/>
        </w:rPr>
        <w:t xml:space="preserve">onsiliului UNBR, </w:t>
      </w:r>
      <w:r w:rsidRPr="00B06B5F">
        <w:rPr>
          <w:rFonts w:ascii="Times New Roman" w:eastAsia="Times New Roman" w:hAnsi="Times New Roman"/>
          <w:lang w:eastAsia="en-US"/>
        </w:rPr>
        <w:t>C</w:t>
      </w:r>
      <w:r w:rsidR="00547C92">
        <w:rPr>
          <w:rFonts w:ascii="Times New Roman" w:eastAsia="Times New Roman" w:hAnsi="Times New Roman"/>
          <w:lang w:eastAsia="en-US"/>
        </w:rPr>
        <w:t>AA</w:t>
      </w:r>
      <w:r w:rsidRPr="00B06B5F">
        <w:rPr>
          <w:rFonts w:ascii="Times New Roman" w:eastAsia="Times New Roman" w:hAnsi="Times New Roman"/>
          <w:lang w:eastAsia="en-US"/>
        </w:rPr>
        <w:t xml:space="preserve"> şi </w:t>
      </w:r>
      <w:r>
        <w:rPr>
          <w:rFonts w:ascii="Times New Roman" w:eastAsia="Times New Roman" w:hAnsi="Times New Roman"/>
          <w:lang w:eastAsia="en-US"/>
        </w:rPr>
        <w:t>b</w:t>
      </w:r>
      <w:r w:rsidRPr="00B06B5F">
        <w:rPr>
          <w:rFonts w:ascii="Times New Roman" w:eastAsia="Times New Roman" w:hAnsi="Times New Roman"/>
          <w:lang w:eastAsia="en-US"/>
        </w:rPr>
        <w:t>arourilor</w:t>
      </w:r>
      <w:r w:rsidR="00C4712E">
        <w:rPr>
          <w:rFonts w:ascii="Times New Roman" w:eastAsia="Times New Roman" w:hAnsi="Times New Roman"/>
          <w:lang w:eastAsia="en-US"/>
        </w:rPr>
        <w:t xml:space="preserve">, urmând ca prezenta hotărâre să fie remisă de </w:t>
      </w:r>
      <w:r w:rsidR="00B722B5">
        <w:rPr>
          <w:rFonts w:ascii="Times New Roman" w:eastAsia="Times New Roman" w:hAnsi="Times New Roman"/>
          <w:lang w:eastAsia="en-US"/>
        </w:rPr>
        <w:t>C</w:t>
      </w:r>
      <w:r w:rsidR="00C4712E">
        <w:rPr>
          <w:rFonts w:ascii="Times New Roman" w:eastAsia="Times New Roman" w:hAnsi="Times New Roman"/>
          <w:lang w:eastAsia="en-US"/>
        </w:rPr>
        <w:t>AA</w:t>
      </w:r>
      <w:r w:rsidR="00B722B5">
        <w:rPr>
          <w:rFonts w:ascii="Times New Roman" w:eastAsia="Times New Roman" w:hAnsi="Times New Roman"/>
          <w:lang w:eastAsia="en-US"/>
        </w:rPr>
        <w:t xml:space="preserve"> </w:t>
      </w:r>
      <w:r w:rsidR="00C4712E">
        <w:rPr>
          <w:rFonts w:ascii="Times New Roman" w:eastAsia="Times New Roman" w:hAnsi="Times New Roman"/>
          <w:lang w:eastAsia="en-US"/>
        </w:rPr>
        <w:t>către filiale.</w:t>
      </w:r>
    </w:p>
    <w:p w14:paraId="506D8237" w14:textId="15E46D25" w:rsidR="00F51266" w:rsidRDefault="00F51266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773BE254" w14:textId="4F66B211" w:rsidR="00C4712E" w:rsidRDefault="00C4712E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31CA1244" w14:textId="302B773F" w:rsidR="00C4712E" w:rsidRDefault="00C4712E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0E8A7CBD" w14:textId="0D19EB4A" w:rsidR="00C4712E" w:rsidRDefault="00C4712E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3664289C" w14:textId="3B76C163" w:rsidR="00C4712E" w:rsidRDefault="00C4712E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55E5CF33" w14:textId="77777777" w:rsidR="00C4712E" w:rsidRDefault="00C4712E" w:rsidP="00F512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lang w:eastAsia="en-US"/>
        </w:rPr>
      </w:pPr>
    </w:p>
    <w:p w14:paraId="43A5D192" w14:textId="77777777" w:rsidR="000F101C" w:rsidRPr="0001422A" w:rsidRDefault="000F101C" w:rsidP="009D43E1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25F419" w14:textId="6071C42B" w:rsidR="003D59AA" w:rsidRPr="0001422A" w:rsidRDefault="00A53550" w:rsidP="009D43E1">
      <w:pPr>
        <w:spacing w:line="276" w:lineRule="auto"/>
        <w:ind w:right="29"/>
        <w:jc w:val="center"/>
        <w:rPr>
          <w:rFonts w:ascii="Times New Roman" w:hAnsi="Times New Roman"/>
          <w:b/>
          <w:sz w:val="28"/>
          <w:szCs w:val="28"/>
        </w:rPr>
      </w:pPr>
      <w:r w:rsidRPr="0001422A">
        <w:rPr>
          <w:rFonts w:ascii="Times New Roman" w:eastAsia="Times New Roman" w:hAnsi="Times New Roman"/>
          <w:b/>
          <w:sz w:val="28"/>
          <w:szCs w:val="28"/>
          <w:lang w:eastAsia="en-US"/>
        </w:rPr>
        <w:t>C O N S I L I U L     U. N. B. R.</w:t>
      </w:r>
    </w:p>
    <w:sectPr w:rsidR="003D59AA" w:rsidRPr="0001422A" w:rsidSect="0085607B">
      <w:footerReference w:type="even" r:id="rId8"/>
      <w:footerReference w:type="default" r:id="rId9"/>
      <w:pgSz w:w="11909" w:h="16834" w:code="9"/>
      <w:pgMar w:top="993" w:right="1136" w:bottom="1135" w:left="1560" w:header="70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65BB" w14:textId="77777777" w:rsidR="00CD35AF" w:rsidRDefault="00CD35AF">
      <w:r>
        <w:separator/>
      </w:r>
    </w:p>
  </w:endnote>
  <w:endnote w:type="continuationSeparator" w:id="0">
    <w:p w14:paraId="07E4E999" w14:textId="77777777" w:rsidR="00CD35AF" w:rsidRDefault="00CD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1081" w14:textId="77777777" w:rsidR="000A6091" w:rsidRDefault="000A6091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B60753" w14:textId="77777777" w:rsidR="000A6091" w:rsidRDefault="000A6091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079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DCBFE" w14:textId="5D3DCF5A" w:rsidR="00C4712E" w:rsidRDefault="00C47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1FDA1" w14:textId="77777777" w:rsidR="000A6091" w:rsidRDefault="000A6091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56C8" w14:textId="77777777" w:rsidR="00CD35AF" w:rsidRDefault="00CD35AF">
      <w:r>
        <w:separator/>
      </w:r>
    </w:p>
  </w:footnote>
  <w:footnote w:type="continuationSeparator" w:id="0">
    <w:p w14:paraId="06642B6C" w14:textId="77777777" w:rsidR="00CD35AF" w:rsidRDefault="00CD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66D0"/>
    <w:rsid w:val="00007ED9"/>
    <w:rsid w:val="0001422A"/>
    <w:rsid w:val="000155C0"/>
    <w:rsid w:val="000248D7"/>
    <w:rsid w:val="00036664"/>
    <w:rsid w:val="0004512A"/>
    <w:rsid w:val="000526BF"/>
    <w:rsid w:val="000923B3"/>
    <w:rsid w:val="00093FBB"/>
    <w:rsid w:val="000A08A7"/>
    <w:rsid w:val="000A4B0D"/>
    <w:rsid w:val="000A6091"/>
    <w:rsid w:val="000A6C37"/>
    <w:rsid w:val="000B407D"/>
    <w:rsid w:val="000B46B3"/>
    <w:rsid w:val="000F101C"/>
    <w:rsid w:val="00112BAF"/>
    <w:rsid w:val="00120153"/>
    <w:rsid w:val="001408BB"/>
    <w:rsid w:val="00140D22"/>
    <w:rsid w:val="00150663"/>
    <w:rsid w:val="00153D29"/>
    <w:rsid w:val="00162E87"/>
    <w:rsid w:val="00170AC7"/>
    <w:rsid w:val="00181D1A"/>
    <w:rsid w:val="001D345A"/>
    <w:rsid w:val="001E3AB1"/>
    <w:rsid w:val="001F3784"/>
    <w:rsid w:val="00201289"/>
    <w:rsid w:val="00204634"/>
    <w:rsid w:val="0020685E"/>
    <w:rsid w:val="00214276"/>
    <w:rsid w:val="00214B4B"/>
    <w:rsid w:val="00214FE5"/>
    <w:rsid w:val="00221471"/>
    <w:rsid w:val="002225EA"/>
    <w:rsid w:val="0023457E"/>
    <w:rsid w:val="00236627"/>
    <w:rsid w:val="0024226E"/>
    <w:rsid w:val="0024709E"/>
    <w:rsid w:val="00247E84"/>
    <w:rsid w:val="00251A8C"/>
    <w:rsid w:val="002702F6"/>
    <w:rsid w:val="002776D0"/>
    <w:rsid w:val="00283507"/>
    <w:rsid w:val="00296BC7"/>
    <w:rsid w:val="002B2D95"/>
    <w:rsid w:val="002D464E"/>
    <w:rsid w:val="002E1B7C"/>
    <w:rsid w:val="002E6792"/>
    <w:rsid w:val="002E7D03"/>
    <w:rsid w:val="00312AC7"/>
    <w:rsid w:val="00335BE1"/>
    <w:rsid w:val="00365870"/>
    <w:rsid w:val="00380430"/>
    <w:rsid w:val="00383AF6"/>
    <w:rsid w:val="003D3E38"/>
    <w:rsid w:val="003D5944"/>
    <w:rsid w:val="003D59AA"/>
    <w:rsid w:val="003E6A01"/>
    <w:rsid w:val="003F1431"/>
    <w:rsid w:val="00402469"/>
    <w:rsid w:val="00403B00"/>
    <w:rsid w:val="0040405C"/>
    <w:rsid w:val="00410E1D"/>
    <w:rsid w:val="00412389"/>
    <w:rsid w:val="00414831"/>
    <w:rsid w:val="00460436"/>
    <w:rsid w:val="00480505"/>
    <w:rsid w:val="004A0F8E"/>
    <w:rsid w:val="004A1D70"/>
    <w:rsid w:val="004C402B"/>
    <w:rsid w:val="004C7D8F"/>
    <w:rsid w:val="004D254B"/>
    <w:rsid w:val="004E2C92"/>
    <w:rsid w:val="0050288E"/>
    <w:rsid w:val="00503749"/>
    <w:rsid w:val="00505143"/>
    <w:rsid w:val="005059B7"/>
    <w:rsid w:val="005242D3"/>
    <w:rsid w:val="00524BA0"/>
    <w:rsid w:val="00530CEF"/>
    <w:rsid w:val="00547C92"/>
    <w:rsid w:val="00551332"/>
    <w:rsid w:val="0055552F"/>
    <w:rsid w:val="005A0724"/>
    <w:rsid w:val="005C15BE"/>
    <w:rsid w:val="005C3B2A"/>
    <w:rsid w:val="005C6270"/>
    <w:rsid w:val="005C7894"/>
    <w:rsid w:val="005D06F2"/>
    <w:rsid w:val="005D12DF"/>
    <w:rsid w:val="005D5364"/>
    <w:rsid w:val="005E3278"/>
    <w:rsid w:val="005E35B7"/>
    <w:rsid w:val="005E4AC3"/>
    <w:rsid w:val="005E6B5A"/>
    <w:rsid w:val="005F6FBF"/>
    <w:rsid w:val="00600708"/>
    <w:rsid w:val="006040D7"/>
    <w:rsid w:val="00614D0C"/>
    <w:rsid w:val="00617147"/>
    <w:rsid w:val="006257E0"/>
    <w:rsid w:val="006341ED"/>
    <w:rsid w:val="006350D5"/>
    <w:rsid w:val="0063571C"/>
    <w:rsid w:val="006360FF"/>
    <w:rsid w:val="0064399D"/>
    <w:rsid w:val="006502F3"/>
    <w:rsid w:val="00684554"/>
    <w:rsid w:val="006A5E27"/>
    <w:rsid w:val="006B246B"/>
    <w:rsid w:val="006D10FA"/>
    <w:rsid w:val="006D3653"/>
    <w:rsid w:val="006D674D"/>
    <w:rsid w:val="006E139C"/>
    <w:rsid w:val="006E206D"/>
    <w:rsid w:val="006E33A1"/>
    <w:rsid w:val="006E3578"/>
    <w:rsid w:val="006E4CC4"/>
    <w:rsid w:val="006F1A72"/>
    <w:rsid w:val="00702D13"/>
    <w:rsid w:val="0070523B"/>
    <w:rsid w:val="00706223"/>
    <w:rsid w:val="00736C4F"/>
    <w:rsid w:val="007379F6"/>
    <w:rsid w:val="00771074"/>
    <w:rsid w:val="00775A81"/>
    <w:rsid w:val="007929FF"/>
    <w:rsid w:val="00796378"/>
    <w:rsid w:val="007B2387"/>
    <w:rsid w:val="007C2E49"/>
    <w:rsid w:val="007C59CC"/>
    <w:rsid w:val="007E2B38"/>
    <w:rsid w:val="007E4017"/>
    <w:rsid w:val="007F3368"/>
    <w:rsid w:val="00812D8F"/>
    <w:rsid w:val="00813681"/>
    <w:rsid w:val="008279FB"/>
    <w:rsid w:val="00830F87"/>
    <w:rsid w:val="008314B1"/>
    <w:rsid w:val="008361AC"/>
    <w:rsid w:val="00841BEA"/>
    <w:rsid w:val="0085607B"/>
    <w:rsid w:val="00874F4A"/>
    <w:rsid w:val="0089193A"/>
    <w:rsid w:val="008A50AC"/>
    <w:rsid w:val="008A761F"/>
    <w:rsid w:val="008B4A4C"/>
    <w:rsid w:val="008B6D37"/>
    <w:rsid w:val="008D1367"/>
    <w:rsid w:val="008D74D4"/>
    <w:rsid w:val="008F3A13"/>
    <w:rsid w:val="008F4669"/>
    <w:rsid w:val="00936657"/>
    <w:rsid w:val="009470DD"/>
    <w:rsid w:val="00947510"/>
    <w:rsid w:val="00961997"/>
    <w:rsid w:val="00963E2F"/>
    <w:rsid w:val="009677F4"/>
    <w:rsid w:val="00995785"/>
    <w:rsid w:val="009A0094"/>
    <w:rsid w:val="009A14FE"/>
    <w:rsid w:val="009A3F0A"/>
    <w:rsid w:val="009B5F39"/>
    <w:rsid w:val="009C2611"/>
    <w:rsid w:val="009D26ED"/>
    <w:rsid w:val="009D43E1"/>
    <w:rsid w:val="009D78D5"/>
    <w:rsid w:val="009F09E3"/>
    <w:rsid w:val="009F77A5"/>
    <w:rsid w:val="00A23240"/>
    <w:rsid w:val="00A2405A"/>
    <w:rsid w:val="00A26D4C"/>
    <w:rsid w:val="00A40421"/>
    <w:rsid w:val="00A43C54"/>
    <w:rsid w:val="00A53550"/>
    <w:rsid w:val="00A710DD"/>
    <w:rsid w:val="00AA2D47"/>
    <w:rsid w:val="00AC5628"/>
    <w:rsid w:val="00AD662B"/>
    <w:rsid w:val="00AD6F0C"/>
    <w:rsid w:val="00AD6F63"/>
    <w:rsid w:val="00AE0505"/>
    <w:rsid w:val="00AF5703"/>
    <w:rsid w:val="00B0074E"/>
    <w:rsid w:val="00B01B62"/>
    <w:rsid w:val="00B06B5F"/>
    <w:rsid w:val="00B1565B"/>
    <w:rsid w:val="00B23B56"/>
    <w:rsid w:val="00B314E7"/>
    <w:rsid w:val="00B42E43"/>
    <w:rsid w:val="00B43774"/>
    <w:rsid w:val="00B629F5"/>
    <w:rsid w:val="00B67A11"/>
    <w:rsid w:val="00B722B5"/>
    <w:rsid w:val="00B942DE"/>
    <w:rsid w:val="00B97FF0"/>
    <w:rsid w:val="00BA2652"/>
    <w:rsid w:val="00BB070D"/>
    <w:rsid w:val="00BB59A8"/>
    <w:rsid w:val="00BD6200"/>
    <w:rsid w:val="00BE6568"/>
    <w:rsid w:val="00C22DD0"/>
    <w:rsid w:val="00C34AF7"/>
    <w:rsid w:val="00C42EAB"/>
    <w:rsid w:val="00C4712E"/>
    <w:rsid w:val="00C50AC6"/>
    <w:rsid w:val="00C52F70"/>
    <w:rsid w:val="00C63983"/>
    <w:rsid w:val="00C65BBF"/>
    <w:rsid w:val="00C704B6"/>
    <w:rsid w:val="00C747C1"/>
    <w:rsid w:val="00C97639"/>
    <w:rsid w:val="00CA7DE1"/>
    <w:rsid w:val="00CC00E5"/>
    <w:rsid w:val="00CD35AF"/>
    <w:rsid w:val="00CE5C8F"/>
    <w:rsid w:val="00D071EF"/>
    <w:rsid w:val="00D151D9"/>
    <w:rsid w:val="00D20D3F"/>
    <w:rsid w:val="00D2236C"/>
    <w:rsid w:val="00D23254"/>
    <w:rsid w:val="00D355D3"/>
    <w:rsid w:val="00D67BA5"/>
    <w:rsid w:val="00D744D5"/>
    <w:rsid w:val="00D86661"/>
    <w:rsid w:val="00D86914"/>
    <w:rsid w:val="00DA72FB"/>
    <w:rsid w:val="00DB1BCC"/>
    <w:rsid w:val="00DD6B19"/>
    <w:rsid w:val="00DE072C"/>
    <w:rsid w:val="00DF3B31"/>
    <w:rsid w:val="00DF6E84"/>
    <w:rsid w:val="00E078D4"/>
    <w:rsid w:val="00E1513A"/>
    <w:rsid w:val="00E15F07"/>
    <w:rsid w:val="00E45DD5"/>
    <w:rsid w:val="00E94A78"/>
    <w:rsid w:val="00EC6801"/>
    <w:rsid w:val="00EC7034"/>
    <w:rsid w:val="00ED4911"/>
    <w:rsid w:val="00ED5695"/>
    <w:rsid w:val="00ED7352"/>
    <w:rsid w:val="00EE069A"/>
    <w:rsid w:val="00EE5D10"/>
    <w:rsid w:val="00EF1AD5"/>
    <w:rsid w:val="00EF7034"/>
    <w:rsid w:val="00F038BD"/>
    <w:rsid w:val="00F23704"/>
    <w:rsid w:val="00F35B46"/>
    <w:rsid w:val="00F42AB6"/>
    <w:rsid w:val="00F477C2"/>
    <w:rsid w:val="00F51266"/>
    <w:rsid w:val="00F57AB3"/>
    <w:rsid w:val="00F60BB4"/>
    <w:rsid w:val="00F66A80"/>
    <w:rsid w:val="00F71649"/>
    <w:rsid w:val="00F924A3"/>
    <w:rsid w:val="00F9745B"/>
    <w:rsid w:val="00FA2A77"/>
    <w:rsid w:val="00FB073A"/>
    <w:rsid w:val="00FC39F9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617996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57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3E1"/>
    <w:rPr>
      <w:rFonts w:ascii="Trebuchet MS" w:hAnsi="Trebuchet MS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F6FB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C4712E"/>
    <w:rPr>
      <w:rFonts w:ascii="Trebuchet MS" w:hAnsi="Trebuchet MS"/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366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6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6657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6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6657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5215-54E6-4990-B962-F828AAFF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588</Words>
  <Characters>3278</Characters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3859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2015-12-14T09:03:00Z</cp:lastPrinted>
  <dcterms:created xsi:type="dcterms:W3CDTF">2021-09-23T10:52:00Z</dcterms:created>
  <dcterms:modified xsi:type="dcterms:W3CDTF">2021-09-28T06:34:00Z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