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0320A" w14:textId="53FEDC6B" w:rsidR="00A716CB" w:rsidRPr="00A716CB" w:rsidRDefault="00A716CB" w:rsidP="00A716CB">
      <w:pPr>
        <w:jc w:val="center"/>
        <w:rPr>
          <w:b/>
          <w:bCs/>
        </w:rPr>
      </w:pPr>
      <w:r w:rsidRPr="00A716CB">
        <w:rPr>
          <w:b/>
          <w:bCs/>
        </w:rPr>
        <w:t>Comunicat privind strategia de comunicare a UNBR pentru anul 2022</w:t>
      </w:r>
    </w:p>
    <w:p w14:paraId="38F35E16" w14:textId="77777777" w:rsidR="00A716CB" w:rsidRDefault="00A716CB" w:rsidP="00A716CB">
      <w:pPr>
        <w:jc w:val="both"/>
      </w:pPr>
    </w:p>
    <w:p w14:paraId="4905530A" w14:textId="63CC8ABD" w:rsidR="005D5EF9" w:rsidRPr="005D5EF9" w:rsidRDefault="005D5EF9" w:rsidP="00A716CB">
      <w:pPr>
        <w:jc w:val="both"/>
      </w:pPr>
      <w:r w:rsidRPr="005D5EF9">
        <w:t xml:space="preserve">În ședința Comisiei Permanente din data de </w:t>
      </w:r>
      <w:r w:rsidR="00A716CB">
        <w:t>18 februarie 2022</w:t>
      </w:r>
      <w:r w:rsidRPr="005D5EF9">
        <w:t xml:space="preserve">, a fost analizată și aprobată strategia de comunicare pentru anul 2022. </w:t>
      </w:r>
    </w:p>
    <w:p w14:paraId="35D6B26B" w14:textId="14838CDD" w:rsidR="000C3680" w:rsidRDefault="000C3680" w:rsidP="000C3680">
      <w:pPr>
        <w:jc w:val="both"/>
      </w:pPr>
      <w:r>
        <w:t xml:space="preserve">Obiectivul principal al UNBR în 2022 este actualizarea </w:t>
      </w:r>
      <w:r w:rsidR="00FB5B43">
        <w:t xml:space="preserve">reglementărilor </w:t>
      </w:r>
      <w:r>
        <w:t>privind avocatura</w:t>
      </w:r>
      <w:r w:rsidR="00E600F9">
        <w:t>,</w:t>
      </w:r>
      <w:r>
        <w:t xml:space="preserve"> prin </w:t>
      </w:r>
      <w:r w:rsidR="00E600F9">
        <w:t>propunerea spre adoptare de către autoritățile cu rol de reglementare a unor</w:t>
      </w:r>
      <w:r>
        <w:t xml:space="preserve"> </w:t>
      </w:r>
      <w:r w:rsidR="00E600F9">
        <w:t>norme adecvate</w:t>
      </w:r>
      <w:r>
        <w:t>, în funcție de problemele actuale</w:t>
      </w:r>
      <w:r w:rsidR="00EA61B2">
        <w:t>, care să corespundă cerințelor evoluției profesiei și pieței</w:t>
      </w:r>
      <w:r>
        <w:t xml:space="preserve">.  </w:t>
      </w:r>
    </w:p>
    <w:p w14:paraId="05E49338" w14:textId="77777777" w:rsidR="000C3680" w:rsidRDefault="000C3680" w:rsidP="000C3680">
      <w:pPr>
        <w:jc w:val="both"/>
      </w:pPr>
      <w:r>
        <w:t xml:space="preserve">Toate campaniile UNBR vor fi dezvoltate în jurul acestei teme principale, cu abordări specifice subtemelor de interes.  </w:t>
      </w:r>
    </w:p>
    <w:p w14:paraId="6E0416CB" w14:textId="2CF08843" w:rsidR="005D5EF9" w:rsidRPr="005D5EF9" w:rsidRDefault="005D5EF9" w:rsidP="000C3680">
      <w:pPr>
        <w:jc w:val="both"/>
      </w:pPr>
      <w:r w:rsidRPr="005D5EF9">
        <w:t xml:space="preserve">Din păcate, schimbările actuale în domeniul avocaturii </w:t>
      </w:r>
      <w:r w:rsidR="00A716CB" w:rsidRPr="005D5EF9">
        <w:t xml:space="preserve">în majoritatea țărilor europene </w:t>
      </w:r>
      <w:r w:rsidRPr="005D5EF9">
        <w:t>au început de la guverne</w:t>
      </w:r>
      <w:r w:rsidR="00A716CB">
        <w:t>,</w:t>
      </w:r>
      <w:r w:rsidRPr="005D5EF9">
        <w:t xml:space="preserve"> în contextul noilor inițiative și reglementări ale Comisiei Europene pe piața serviciilor. Avocații au avut mai degrabă un rol defensiv, pentru a contracara atacurile la valorile profesiei, prin comercializarea excesivă a </w:t>
      </w:r>
      <w:r w:rsidR="00ED292A">
        <w:t xml:space="preserve">serviciilor avocațiale </w:t>
      </w:r>
      <w:r w:rsidRPr="005D5EF9">
        <w:t>și slăbirea rolului organismelor de reglementare.</w:t>
      </w:r>
    </w:p>
    <w:p w14:paraId="57E2AC85" w14:textId="77777777" w:rsidR="000C3680" w:rsidRDefault="000C3680" w:rsidP="000C3680">
      <w:pPr>
        <w:jc w:val="both"/>
      </w:pPr>
      <w:r>
        <w:t>2022 va fi un an extrem de dificil pentru UNBR, însă este un an esențial pentru a impune schimbarea conform valorilor profesiei și pentru a acționa profilactic față de tendințele care amenință avocatura.</w:t>
      </w:r>
    </w:p>
    <w:p w14:paraId="2E013C84" w14:textId="77777777" w:rsidR="000C3680" w:rsidRDefault="000C3680" w:rsidP="000C3680">
      <w:pPr>
        <w:jc w:val="both"/>
      </w:pPr>
      <w:r>
        <w:t>Avem convingerea că abordarea cu sinceritate, deschidere către avocați  a tuturor problemelor spinoase va aduce susținere și rezultate.</w:t>
      </w:r>
    </w:p>
    <w:p w14:paraId="007B5166" w14:textId="77777777" w:rsidR="000C3680" w:rsidRDefault="000C3680" w:rsidP="000C3680">
      <w:pPr>
        <w:jc w:val="both"/>
      </w:pPr>
      <w:r>
        <w:t xml:space="preserve">În acest an, UNBR își propune ca fiecare ședința a Consiliului UNBR să găzduiască câte un atelier cu dezbateri pe teme de interes pentru avocați. </w:t>
      </w:r>
    </w:p>
    <w:p w14:paraId="66B34737" w14:textId="77777777" w:rsidR="000C3680" w:rsidRDefault="000C3680" w:rsidP="000C3680">
      <w:pPr>
        <w:jc w:val="both"/>
      </w:pPr>
      <w:r>
        <w:t xml:space="preserve">Totodată, UNBR își propune să sprijine barourile în organizarea de întâlniri cu avocații pentru a discuta tendințe și provocări pe care aceștia le întâmpină în exercitarea profesiei de avocat, la nivelul întregii țări. În acest sens au fost comunicate barourilor, cu titlu de exemplu, câteva teme de discuție: </w:t>
      </w:r>
    </w:p>
    <w:p w14:paraId="4FC408FA" w14:textId="7602DBB3" w:rsidR="004C424A" w:rsidRPr="004C424A" w:rsidRDefault="004C424A" w:rsidP="000C3680">
      <w:pPr>
        <w:jc w:val="both"/>
        <w:rPr>
          <w:i/>
          <w:iCs/>
        </w:rPr>
      </w:pPr>
      <w:r w:rsidRPr="004C424A">
        <w:rPr>
          <w:i/>
          <w:iCs/>
        </w:rPr>
        <w:t xml:space="preserve">- Interacțiunea și comunicarea profesiilor juridice. Aspecte legale, etice și deontologice; </w:t>
      </w:r>
    </w:p>
    <w:p w14:paraId="2E9950CA" w14:textId="0AE8CB9B" w:rsidR="004C424A" w:rsidRPr="004C424A" w:rsidRDefault="004C424A" w:rsidP="00A716CB">
      <w:pPr>
        <w:jc w:val="both"/>
        <w:rPr>
          <w:i/>
          <w:iCs/>
        </w:rPr>
      </w:pPr>
      <w:r w:rsidRPr="004C424A">
        <w:rPr>
          <w:i/>
          <w:iCs/>
        </w:rPr>
        <w:t xml:space="preserve">- Noile reglementări privind publicitatea avocaților. Necesitatea abordării unor instrumente de promovare etică a avocaților pentru a face față mediului concurențial; </w:t>
      </w:r>
    </w:p>
    <w:p w14:paraId="4ABD136C" w14:textId="30824764" w:rsidR="004C424A" w:rsidRPr="004C424A" w:rsidRDefault="004C424A" w:rsidP="00A716CB">
      <w:pPr>
        <w:jc w:val="both"/>
        <w:rPr>
          <w:i/>
          <w:iCs/>
        </w:rPr>
      </w:pPr>
      <w:r w:rsidRPr="004C424A">
        <w:rPr>
          <w:i/>
          <w:iCs/>
        </w:rPr>
        <w:t>- Participarea avocaților la platformele de intermediere avocat client. Beneficii și riscuri</w:t>
      </w:r>
    </w:p>
    <w:p w14:paraId="529EFF5C" w14:textId="51447BD7" w:rsidR="004C424A" w:rsidRPr="004C424A" w:rsidRDefault="004C424A" w:rsidP="00A716CB">
      <w:pPr>
        <w:jc w:val="both"/>
        <w:rPr>
          <w:i/>
          <w:iCs/>
        </w:rPr>
      </w:pPr>
      <w:r w:rsidRPr="004C424A">
        <w:rPr>
          <w:i/>
          <w:iCs/>
        </w:rPr>
        <w:t>- Profesia de avocat în era comunicării online. Mecanisme și proceduri specifice mijloacelor de comunicare moderne;</w:t>
      </w:r>
    </w:p>
    <w:p w14:paraId="38B74031" w14:textId="4CE93E40" w:rsidR="004C424A" w:rsidRPr="004C424A" w:rsidRDefault="004C424A" w:rsidP="00A716CB">
      <w:pPr>
        <w:jc w:val="both"/>
        <w:rPr>
          <w:i/>
          <w:iCs/>
        </w:rPr>
      </w:pPr>
      <w:r w:rsidRPr="004C424A">
        <w:rPr>
          <w:i/>
          <w:iCs/>
        </w:rPr>
        <w:t>- Provocări la adresa principiului autoreglementării profesiei de avocat;</w:t>
      </w:r>
    </w:p>
    <w:p w14:paraId="6926747C" w14:textId="1FF612BE" w:rsidR="004C424A" w:rsidRPr="004C424A" w:rsidRDefault="004C424A" w:rsidP="00A716CB">
      <w:pPr>
        <w:jc w:val="both"/>
        <w:rPr>
          <w:i/>
          <w:iCs/>
        </w:rPr>
      </w:pPr>
      <w:r w:rsidRPr="004C424A">
        <w:rPr>
          <w:i/>
          <w:iCs/>
        </w:rPr>
        <w:t>- Responsabilitatea socială ca formă de comunicare. Implicarea avocaților în educația juridică în școli în contextul noilor reglementări ;</w:t>
      </w:r>
    </w:p>
    <w:p w14:paraId="034FAD57" w14:textId="4B9BCA50" w:rsidR="004C424A" w:rsidRPr="004C424A" w:rsidRDefault="004C424A" w:rsidP="00A716CB">
      <w:pPr>
        <w:jc w:val="both"/>
        <w:rPr>
          <w:i/>
          <w:iCs/>
        </w:rPr>
      </w:pPr>
      <w:r w:rsidRPr="004C424A">
        <w:rPr>
          <w:i/>
          <w:iCs/>
        </w:rPr>
        <w:t>- Profesia de avocat în era comunicării online. Mecanisme și proceduri specifice mijloacelor de comunicare moderne.</w:t>
      </w:r>
    </w:p>
    <w:p w14:paraId="22B9927D" w14:textId="39EB6D69" w:rsidR="004C424A" w:rsidRPr="004C424A" w:rsidRDefault="004C424A" w:rsidP="00A716CB">
      <w:pPr>
        <w:jc w:val="both"/>
        <w:rPr>
          <w:i/>
          <w:iCs/>
        </w:rPr>
      </w:pPr>
      <w:r w:rsidRPr="004C424A">
        <w:rPr>
          <w:i/>
          <w:iCs/>
        </w:rPr>
        <w:t>- Provocări privind răspunderea penală a avocatului. Condiții și efecte;</w:t>
      </w:r>
    </w:p>
    <w:p w14:paraId="44357B83" w14:textId="4DFEB6FD" w:rsidR="004C424A" w:rsidRPr="004C424A" w:rsidRDefault="004C424A" w:rsidP="00A716CB">
      <w:pPr>
        <w:jc w:val="both"/>
        <w:rPr>
          <w:i/>
          <w:iCs/>
        </w:rPr>
      </w:pPr>
      <w:r w:rsidRPr="004C424A">
        <w:rPr>
          <w:i/>
          <w:iCs/>
        </w:rPr>
        <w:t>- Contabilitatea specifică avocaților și fiscalitatea. Reglementări, provocări, soluții;</w:t>
      </w:r>
    </w:p>
    <w:p w14:paraId="52D0209D" w14:textId="178B8413" w:rsidR="004C424A" w:rsidRPr="004C424A" w:rsidRDefault="004C424A" w:rsidP="00A716CB">
      <w:pPr>
        <w:jc w:val="both"/>
        <w:rPr>
          <w:i/>
          <w:iCs/>
        </w:rPr>
      </w:pPr>
      <w:r w:rsidRPr="004C424A">
        <w:rPr>
          <w:i/>
          <w:iCs/>
        </w:rPr>
        <w:t xml:space="preserve">- Nedemnitatea în profesia de avocat. Cadrul legal actual și propuneri de lege </w:t>
      </w:r>
      <w:proofErr w:type="spellStart"/>
      <w:r w:rsidRPr="004C424A">
        <w:rPr>
          <w:i/>
          <w:iCs/>
        </w:rPr>
        <w:t>ferenda</w:t>
      </w:r>
      <w:proofErr w:type="spellEnd"/>
      <w:r w:rsidRPr="004C424A">
        <w:rPr>
          <w:i/>
          <w:iCs/>
        </w:rPr>
        <w:t>;</w:t>
      </w:r>
    </w:p>
    <w:p w14:paraId="15800094" w14:textId="3773BBD1" w:rsidR="004C424A" w:rsidRPr="004C424A" w:rsidRDefault="004C424A" w:rsidP="00A716CB">
      <w:pPr>
        <w:jc w:val="both"/>
        <w:rPr>
          <w:i/>
          <w:iCs/>
        </w:rPr>
      </w:pPr>
      <w:r w:rsidRPr="004C424A">
        <w:rPr>
          <w:i/>
          <w:iCs/>
        </w:rPr>
        <w:t>- Corespondența dintre avocat și client. Mecanisme de protecție;</w:t>
      </w:r>
    </w:p>
    <w:p w14:paraId="6AA2E390" w14:textId="07065414" w:rsidR="004C424A" w:rsidRPr="004C424A" w:rsidRDefault="004C424A" w:rsidP="00A716CB">
      <w:pPr>
        <w:jc w:val="both"/>
        <w:rPr>
          <w:i/>
          <w:iCs/>
        </w:rPr>
      </w:pPr>
      <w:r w:rsidRPr="004C424A">
        <w:rPr>
          <w:i/>
          <w:iCs/>
        </w:rPr>
        <w:lastRenderedPageBreak/>
        <w:t xml:space="preserve">- Interprofesionalitatea și cererea de servicii integrate. Aspecte legale și deontologice; </w:t>
      </w:r>
    </w:p>
    <w:p w14:paraId="0600F531" w14:textId="21DD1655" w:rsidR="004C424A" w:rsidRPr="004C424A" w:rsidRDefault="004C424A" w:rsidP="00A716CB">
      <w:pPr>
        <w:jc w:val="both"/>
        <w:rPr>
          <w:i/>
          <w:iCs/>
        </w:rPr>
      </w:pPr>
      <w:r w:rsidRPr="004C424A">
        <w:rPr>
          <w:i/>
          <w:iCs/>
        </w:rPr>
        <w:t>- Definirea domeniului de practică rezervat avocaților și a consultanței juridice în contextul concurenței cu alte profesii și al serviciilor integrate;</w:t>
      </w:r>
    </w:p>
    <w:p w14:paraId="6DCAFF29" w14:textId="78053A1A" w:rsidR="004C424A" w:rsidRPr="004C424A" w:rsidRDefault="004C424A" w:rsidP="00A716CB">
      <w:pPr>
        <w:jc w:val="both"/>
        <w:rPr>
          <w:i/>
          <w:iCs/>
        </w:rPr>
      </w:pPr>
      <w:r w:rsidRPr="004C424A">
        <w:rPr>
          <w:i/>
          <w:iCs/>
        </w:rPr>
        <w:t>- Patrimoniul de afectațiune profesională. Transformarea formei de organizare și exercitare a profesiei de avocat;</w:t>
      </w:r>
    </w:p>
    <w:p w14:paraId="1FABC819" w14:textId="4DE347B1" w:rsidR="004C424A" w:rsidRPr="004C424A" w:rsidRDefault="004C424A" w:rsidP="00A716CB">
      <w:pPr>
        <w:jc w:val="both"/>
        <w:rPr>
          <w:i/>
          <w:iCs/>
        </w:rPr>
      </w:pPr>
      <w:r w:rsidRPr="004C424A">
        <w:rPr>
          <w:i/>
          <w:iCs/>
        </w:rPr>
        <w:t>- Admiterea în profesia de avocat. Posibile soluții pentru înscrierea avocaților stagiari în mod proporțional în toate barourile din țară;</w:t>
      </w:r>
    </w:p>
    <w:p w14:paraId="1C2838D5" w14:textId="3E3881D6" w:rsidR="004C424A" w:rsidRPr="004C424A" w:rsidRDefault="004C424A" w:rsidP="00A716CB">
      <w:pPr>
        <w:jc w:val="both"/>
        <w:rPr>
          <w:i/>
          <w:iCs/>
        </w:rPr>
      </w:pPr>
      <w:r w:rsidRPr="004C424A">
        <w:rPr>
          <w:i/>
          <w:iCs/>
        </w:rPr>
        <w:t>- Accesul la profesia de avocat. Provocările legii privind testul de proporționalitate și cerințele Comisiei Europene;</w:t>
      </w:r>
    </w:p>
    <w:p w14:paraId="4E18FD5F" w14:textId="72C07287" w:rsidR="004C424A" w:rsidRPr="004C424A" w:rsidRDefault="004C424A" w:rsidP="00A716CB">
      <w:pPr>
        <w:jc w:val="both"/>
        <w:rPr>
          <w:i/>
          <w:iCs/>
        </w:rPr>
      </w:pPr>
      <w:r w:rsidRPr="004C424A">
        <w:rPr>
          <w:i/>
          <w:iCs/>
        </w:rPr>
        <w:t>- Digitalizarea și informatizarea profesiei. Comunicarea la distanță avocat client și cu sistemul judiciar;</w:t>
      </w:r>
    </w:p>
    <w:p w14:paraId="2FBD15FB" w14:textId="1D489501" w:rsidR="004C424A" w:rsidRPr="004C424A" w:rsidRDefault="004C424A" w:rsidP="00A716CB">
      <w:pPr>
        <w:jc w:val="both"/>
        <w:rPr>
          <w:i/>
          <w:iCs/>
        </w:rPr>
      </w:pPr>
      <w:r w:rsidRPr="004C424A">
        <w:rPr>
          <w:i/>
          <w:iCs/>
        </w:rPr>
        <w:t>- Organizarea internă a profesiei. Perspective privind funcționarea instituțiilor profesiei;</w:t>
      </w:r>
    </w:p>
    <w:p w14:paraId="04010A51" w14:textId="15624369" w:rsidR="004C424A" w:rsidRPr="004C424A" w:rsidRDefault="004C424A" w:rsidP="00A716CB">
      <w:pPr>
        <w:jc w:val="both"/>
        <w:rPr>
          <w:i/>
          <w:iCs/>
        </w:rPr>
      </w:pPr>
      <w:r w:rsidRPr="004C424A">
        <w:rPr>
          <w:i/>
          <w:iCs/>
        </w:rPr>
        <w:t>- Mentoratul în avocatură și problematica stagiarilor;</w:t>
      </w:r>
    </w:p>
    <w:p w14:paraId="36F56785" w14:textId="01709DD7" w:rsidR="004C424A" w:rsidRPr="004C424A" w:rsidRDefault="004C424A" w:rsidP="00A716CB">
      <w:pPr>
        <w:jc w:val="both"/>
        <w:rPr>
          <w:i/>
          <w:iCs/>
        </w:rPr>
      </w:pPr>
      <w:r w:rsidRPr="004C424A">
        <w:rPr>
          <w:i/>
          <w:iCs/>
        </w:rPr>
        <w:t xml:space="preserve">- Abordări noi privind pregătirea profesională inițială și continuă. Actualizări ale programei în funcție de evoluția pieței avocaturii; </w:t>
      </w:r>
    </w:p>
    <w:p w14:paraId="7F912597" w14:textId="0DF58671" w:rsidR="004C424A" w:rsidRPr="004C424A" w:rsidRDefault="004C424A" w:rsidP="00A716CB">
      <w:pPr>
        <w:jc w:val="both"/>
        <w:rPr>
          <w:i/>
          <w:iCs/>
        </w:rPr>
      </w:pPr>
      <w:r w:rsidRPr="004C424A">
        <w:rPr>
          <w:i/>
          <w:iCs/>
        </w:rPr>
        <w:t>- Piața avocaturii. Tendințe privind domeniile preponderente de practică ale avocaților înscriși în barou;</w:t>
      </w:r>
    </w:p>
    <w:p w14:paraId="7E5C0E9C" w14:textId="117C5C00" w:rsidR="004C424A" w:rsidRPr="004C424A" w:rsidRDefault="004C424A" w:rsidP="00A716CB">
      <w:pPr>
        <w:jc w:val="both"/>
        <w:rPr>
          <w:i/>
          <w:iCs/>
        </w:rPr>
      </w:pPr>
      <w:r w:rsidRPr="004C424A">
        <w:rPr>
          <w:i/>
          <w:iCs/>
        </w:rPr>
        <w:t>- Domeniile predilecte de dezvoltare pe piața serviciilor avocațiale în plan local;</w:t>
      </w:r>
    </w:p>
    <w:p w14:paraId="1A51A174" w14:textId="7ED5A542" w:rsidR="005D5EF9" w:rsidRDefault="004C424A" w:rsidP="00A716CB">
      <w:pPr>
        <w:jc w:val="both"/>
        <w:rPr>
          <w:i/>
          <w:iCs/>
        </w:rPr>
      </w:pPr>
      <w:r w:rsidRPr="004C424A">
        <w:rPr>
          <w:i/>
          <w:iCs/>
        </w:rPr>
        <w:t>- Obligațiile de raportare în contextul adoptării de către forurile europene a noilor reglementări privind prevenirea și combaterea spălării banilor;</w:t>
      </w:r>
    </w:p>
    <w:p w14:paraId="6531C644" w14:textId="0C71F73D" w:rsidR="004C424A" w:rsidRDefault="004C424A" w:rsidP="00A716CB">
      <w:pPr>
        <w:jc w:val="both"/>
      </w:pPr>
      <w:r>
        <w:t xml:space="preserve">Aceste propuneri pot fi oricând completate cu alte propuneri din partea avocaților, pe care îi încurajăm să ne contacteze la adresa </w:t>
      </w:r>
      <w:hyperlink r:id="rId6" w:history="1">
        <w:r w:rsidRPr="00DD6B58">
          <w:rPr>
            <w:rStyle w:val="Hyperlink"/>
          </w:rPr>
          <w:t>comunicare@unbr.ro</w:t>
        </w:r>
      </w:hyperlink>
      <w:r>
        <w:t xml:space="preserve"> </w:t>
      </w:r>
    </w:p>
    <w:p w14:paraId="0B269809" w14:textId="62A33F93" w:rsidR="004C424A" w:rsidRDefault="004C424A" w:rsidP="004C424A"/>
    <w:p w14:paraId="2BCACDFC" w14:textId="77777777" w:rsidR="004C424A" w:rsidRPr="004C424A" w:rsidRDefault="004C424A" w:rsidP="004C424A"/>
    <w:sectPr w:rsidR="004C424A" w:rsidRPr="004C424A" w:rsidSect="00A716CB">
      <w:footerReference w:type="default" r:id="rId7"/>
      <w:pgSz w:w="11906" w:h="16838"/>
      <w:pgMar w:top="1440" w:right="1274"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ED502" w14:textId="77777777" w:rsidR="00F12A79" w:rsidRDefault="00F12A79" w:rsidP="00F12A79">
      <w:pPr>
        <w:spacing w:after="0" w:line="240" w:lineRule="auto"/>
      </w:pPr>
      <w:r>
        <w:separator/>
      </w:r>
    </w:p>
  </w:endnote>
  <w:endnote w:type="continuationSeparator" w:id="0">
    <w:p w14:paraId="34F82AF2" w14:textId="77777777" w:rsidR="00F12A79" w:rsidRDefault="00F12A79" w:rsidP="00F12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578247"/>
      <w:docPartObj>
        <w:docPartGallery w:val="Page Numbers (Bottom of Page)"/>
        <w:docPartUnique/>
      </w:docPartObj>
    </w:sdtPr>
    <w:sdtEndPr>
      <w:rPr>
        <w:noProof/>
      </w:rPr>
    </w:sdtEndPr>
    <w:sdtContent>
      <w:p w14:paraId="75221C81" w14:textId="4A0EBB4F" w:rsidR="00F12A79" w:rsidRDefault="00F12A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C9F24E" w14:textId="77777777" w:rsidR="00F12A79" w:rsidRDefault="00F12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8D27A" w14:textId="77777777" w:rsidR="00F12A79" w:rsidRDefault="00F12A79" w:rsidP="00F12A79">
      <w:pPr>
        <w:spacing w:after="0" w:line="240" w:lineRule="auto"/>
      </w:pPr>
      <w:r>
        <w:separator/>
      </w:r>
    </w:p>
  </w:footnote>
  <w:footnote w:type="continuationSeparator" w:id="0">
    <w:p w14:paraId="5911620F" w14:textId="77777777" w:rsidR="00F12A79" w:rsidRDefault="00F12A79" w:rsidP="00F12A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9"/>
    <w:rsid w:val="000151AE"/>
    <w:rsid w:val="000C3680"/>
    <w:rsid w:val="003568D4"/>
    <w:rsid w:val="004C424A"/>
    <w:rsid w:val="005D5EF9"/>
    <w:rsid w:val="005E6F1D"/>
    <w:rsid w:val="0061452F"/>
    <w:rsid w:val="006F48FC"/>
    <w:rsid w:val="007A3661"/>
    <w:rsid w:val="00A716CB"/>
    <w:rsid w:val="00B77725"/>
    <w:rsid w:val="00E25C31"/>
    <w:rsid w:val="00E600F9"/>
    <w:rsid w:val="00EA61B2"/>
    <w:rsid w:val="00ED292A"/>
    <w:rsid w:val="00F12A79"/>
    <w:rsid w:val="00FB5B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FCD99"/>
  <w15:chartTrackingRefBased/>
  <w15:docId w15:val="{B1E1885F-4C4A-4859-B811-670A1AC1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424A"/>
    <w:rPr>
      <w:color w:val="0563C1" w:themeColor="hyperlink"/>
      <w:u w:val="single"/>
    </w:rPr>
  </w:style>
  <w:style w:type="character" w:styleId="UnresolvedMention">
    <w:name w:val="Unresolved Mention"/>
    <w:basedOn w:val="DefaultParagraphFont"/>
    <w:uiPriority w:val="99"/>
    <w:semiHidden/>
    <w:unhideWhenUsed/>
    <w:rsid w:val="004C424A"/>
    <w:rPr>
      <w:color w:val="605E5C"/>
      <w:shd w:val="clear" w:color="auto" w:fill="E1DFDD"/>
    </w:rPr>
  </w:style>
  <w:style w:type="paragraph" w:styleId="Header">
    <w:name w:val="header"/>
    <w:basedOn w:val="Normal"/>
    <w:link w:val="HeaderChar"/>
    <w:uiPriority w:val="99"/>
    <w:unhideWhenUsed/>
    <w:rsid w:val="00F12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A79"/>
  </w:style>
  <w:style w:type="paragraph" w:styleId="Footer">
    <w:name w:val="footer"/>
    <w:basedOn w:val="Normal"/>
    <w:link w:val="FooterChar"/>
    <w:uiPriority w:val="99"/>
    <w:unhideWhenUsed/>
    <w:rsid w:val="00F12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338041">
      <w:bodyDiv w:val="1"/>
      <w:marLeft w:val="0"/>
      <w:marRight w:val="0"/>
      <w:marTop w:val="0"/>
      <w:marBottom w:val="0"/>
      <w:divBdr>
        <w:top w:val="none" w:sz="0" w:space="0" w:color="auto"/>
        <w:left w:val="none" w:sz="0" w:space="0" w:color="auto"/>
        <w:bottom w:val="none" w:sz="0" w:space="0" w:color="auto"/>
        <w:right w:val="none" w:sz="0" w:space="0" w:color="auto"/>
      </w:divBdr>
    </w:div>
    <w:div w:id="124329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icare@unbr.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658</Words>
  <Characters>3818</Characters>
  <Application>Microsoft Office Word</Application>
  <DocSecurity>0</DocSecurity>
  <Lines>31</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MORECUT</dc:creator>
  <cp:keywords/>
  <dc:description/>
  <cp:lastModifiedBy>Sandu Gherasim</cp:lastModifiedBy>
  <cp:revision>2</cp:revision>
  <dcterms:created xsi:type="dcterms:W3CDTF">2022-02-25T13:27:00Z</dcterms:created>
  <dcterms:modified xsi:type="dcterms:W3CDTF">2022-02-25T13:27:00Z</dcterms:modified>
</cp:coreProperties>
</file>