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4E954" w14:textId="77777777" w:rsidR="00480505" w:rsidRPr="00EB071B" w:rsidRDefault="00480505" w:rsidP="0085151A">
      <w:pPr>
        <w:spacing w:line="276" w:lineRule="auto"/>
        <w:ind w:left="360"/>
        <w:jc w:val="center"/>
        <w:rPr>
          <w:rFonts w:ascii="Times New Roman" w:hAnsi="Times New Roman"/>
          <w:b/>
          <w:bCs/>
          <w:sz w:val="32"/>
          <w:szCs w:val="32"/>
        </w:rPr>
      </w:pPr>
      <w:r w:rsidRPr="00EB071B">
        <w:rPr>
          <w:rFonts w:ascii="Times New Roman" w:hAnsi="Times New Roman"/>
          <w:b/>
          <w:bCs/>
          <w:sz w:val="32"/>
          <w:szCs w:val="32"/>
        </w:rPr>
        <w:t>UNIUNEA NAŢIONALĂ A BAROURILOR DIN ROMÂNIA</w:t>
      </w:r>
    </w:p>
    <w:p w14:paraId="4118009A" w14:textId="77777777" w:rsidR="00480505" w:rsidRPr="00EB071B" w:rsidRDefault="00480505" w:rsidP="0085151A">
      <w:pPr>
        <w:spacing w:line="276" w:lineRule="auto"/>
        <w:ind w:left="360"/>
        <w:jc w:val="center"/>
        <w:rPr>
          <w:rFonts w:ascii="Times New Roman" w:hAnsi="Times New Roman"/>
          <w:b/>
          <w:bCs/>
          <w:iCs/>
          <w:sz w:val="32"/>
          <w:szCs w:val="32"/>
        </w:rPr>
      </w:pPr>
      <w:r w:rsidRPr="00EB071B">
        <w:rPr>
          <w:rFonts w:ascii="Times New Roman" w:hAnsi="Times New Roman"/>
          <w:b/>
          <w:bCs/>
          <w:iCs/>
          <w:sz w:val="32"/>
          <w:szCs w:val="32"/>
        </w:rPr>
        <w:t>CONSILIUL UNIUNII</w:t>
      </w:r>
    </w:p>
    <w:p w14:paraId="50DBD98E" w14:textId="77777777" w:rsidR="0085151A" w:rsidRPr="00EB071B" w:rsidRDefault="0085151A" w:rsidP="0085151A">
      <w:pPr>
        <w:spacing w:line="276" w:lineRule="auto"/>
        <w:jc w:val="center"/>
        <w:rPr>
          <w:rFonts w:ascii="Times New Roman" w:hAnsi="Times New Roman"/>
          <w:b/>
          <w:bCs/>
          <w:w w:val="200"/>
          <w:sz w:val="28"/>
          <w:szCs w:val="28"/>
        </w:rPr>
      </w:pPr>
    </w:p>
    <w:p w14:paraId="1D35EC9D" w14:textId="77777777" w:rsidR="000F101C" w:rsidRPr="00EB071B" w:rsidRDefault="000F101C" w:rsidP="0085151A">
      <w:pPr>
        <w:spacing w:line="276" w:lineRule="auto"/>
        <w:jc w:val="center"/>
        <w:rPr>
          <w:rFonts w:ascii="Times New Roman" w:hAnsi="Times New Roman"/>
          <w:b/>
          <w:bCs/>
          <w:w w:val="200"/>
          <w:sz w:val="28"/>
          <w:szCs w:val="28"/>
        </w:rPr>
      </w:pPr>
    </w:p>
    <w:p w14:paraId="38C2F636" w14:textId="77777777" w:rsidR="0004512A" w:rsidRPr="00EB071B" w:rsidRDefault="00505143" w:rsidP="0085151A">
      <w:pPr>
        <w:spacing w:line="276" w:lineRule="auto"/>
        <w:jc w:val="center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EB071B">
        <w:rPr>
          <w:rFonts w:ascii="Times New Roman" w:hAnsi="Times New Roman"/>
          <w:b/>
          <w:bCs/>
          <w:iCs/>
          <w:sz w:val="28"/>
          <w:szCs w:val="28"/>
          <w:u w:val="single"/>
        </w:rPr>
        <w:t>HOTĂRÂREA</w:t>
      </w:r>
      <w:r w:rsidR="003D59AA" w:rsidRPr="00EB071B">
        <w:rPr>
          <w:rFonts w:ascii="Times New Roman" w:hAnsi="Times New Roman"/>
          <w:b/>
          <w:bCs/>
          <w:iCs/>
          <w:sz w:val="28"/>
          <w:szCs w:val="28"/>
          <w:u w:val="single"/>
        </w:rPr>
        <w:t xml:space="preserve"> nr. </w:t>
      </w:r>
      <w:r w:rsidR="004B697C" w:rsidRPr="00EB071B">
        <w:rPr>
          <w:rFonts w:ascii="Times New Roman" w:hAnsi="Times New Roman"/>
          <w:b/>
          <w:bCs/>
          <w:iCs/>
          <w:sz w:val="28"/>
          <w:szCs w:val="28"/>
          <w:u w:val="single"/>
        </w:rPr>
        <w:t>23</w:t>
      </w:r>
      <w:r w:rsidR="004C4FE7">
        <w:rPr>
          <w:rFonts w:ascii="Times New Roman" w:hAnsi="Times New Roman"/>
          <w:b/>
          <w:bCs/>
          <w:iCs/>
          <w:sz w:val="28"/>
          <w:szCs w:val="28"/>
          <w:u w:val="single"/>
        </w:rPr>
        <w:t>5</w:t>
      </w:r>
    </w:p>
    <w:p w14:paraId="2A6C51C8" w14:textId="77777777" w:rsidR="003D59AA" w:rsidRPr="00EB071B" w:rsidRDefault="004B697C" w:rsidP="0085151A">
      <w:pPr>
        <w:spacing w:line="276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EB071B">
        <w:rPr>
          <w:rFonts w:ascii="Times New Roman" w:hAnsi="Times New Roman"/>
          <w:b/>
          <w:bCs/>
          <w:i/>
          <w:iCs/>
          <w:sz w:val="28"/>
          <w:szCs w:val="28"/>
        </w:rPr>
        <w:t>11-12 martie 2022</w:t>
      </w:r>
    </w:p>
    <w:p w14:paraId="188A292B" w14:textId="77777777" w:rsidR="00383AF6" w:rsidRDefault="00383AF6" w:rsidP="0085151A">
      <w:pPr>
        <w:spacing w:line="276" w:lineRule="auto"/>
        <w:jc w:val="center"/>
        <w:rPr>
          <w:rFonts w:ascii="Times New Roman" w:hAnsi="Times New Roman"/>
          <w:b/>
          <w:i/>
        </w:rPr>
      </w:pPr>
    </w:p>
    <w:p w14:paraId="075A235A" w14:textId="77777777" w:rsidR="0063571C" w:rsidRPr="00EB071B" w:rsidRDefault="00383AF6" w:rsidP="0085151A">
      <w:pPr>
        <w:spacing w:line="276" w:lineRule="auto"/>
        <w:jc w:val="both"/>
        <w:rPr>
          <w:rFonts w:ascii="Times New Roman" w:hAnsi="Times New Roman"/>
          <w:i/>
        </w:rPr>
      </w:pPr>
      <w:r w:rsidRPr="00EB071B">
        <w:rPr>
          <w:rFonts w:ascii="Times New Roman" w:hAnsi="Times New Roman"/>
          <w:i/>
        </w:rPr>
        <w:tab/>
        <w:t xml:space="preserve">În conformitate cu dispozițiile art.66 lit. </w:t>
      </w:r>
      <w:r w:rsidR="00035C7B" w:rsidRPr="00EB071B">
        <w:rPr>
          <w:rFonts w:ascii="Times New Roman" w:hAnsi="Times New Roman"/>
          <w:i/>
        </w:rPr>
        <w:t xml:space="preserve">a), </w:t>
      </w:r>
      <w:r w:rsidR="00B12A5D" w:rsidRPr="00EB071B">
        <w:rPr>
          <w:rFonts w:ascii="Times New Roman" w:hAnsi="Times New Roman"/>
          <w:i/>
        </w:rPr>
        <w:t>c</w:t>
      </w:r>
      <w:r w:rsidR="00035C7B" w:rsidRPr="00EB071B">
        <w:rPr>
          <w:rFonts w:ascii="Times New Roman" w:hAnsi="Times New Roman"/>
          <w:i/>
        </w:rPr>
        <w:t>)</w:t>
      </w:r>
      <w:r w:rsidR="00B12A5D" w:rsidRPr="00EB071B">
        <w:rPr>
          <w:rFonts w:ascii="Times New Roman" w:hAnsi="Times New Roman"/>
          <w:i/>
        </w:rPr>
        <w:t xml:space="preserve"> </w:t>
      </w:r>
      <w:r w:rsidR="00EA7295" w:rsidRPr="00EB071B">
        <w:rPr>
          <w:rFonts w:ascii="Times New Roman" w:hAnsi="Times New Roman"/>
          <w:i/>
        </w:rPr>
        <w:t>și ș)</w:t>
      </w:r>
      <w:r w:rsidR="00035C7B" w:rsidRPr="00EB071B">
        <w:rPr>
          <w:rFonts w:ascii="Times New Roman" w:hAnsi="Times New Roman"/>
          <w:i/>
        </w:rPr>
        <w:t xml:space="preserve"> </w:t>
      </w:r>
      <w:r w:rsidRPr="00EB071B">
        <w:rPr>
          <w:rFonts w:ascii="Times New Roman" w:hAnsi="Times New Roman"/>
          <w:i/>
        </w:rPr>
        <w:t xml:space="preserve">din Legea 51/1995 privind organizarea și exercitarea profesiei de avocat, </w:t>
      </w:r>
      <w:r w:rsidR="003A4F81" w:rsidRPr="00EB071B">
        <w:rPr>
          <w:rFonts w:ascii="Times New Roman" w:hAnsi="Times New Roman"/>
          <w:i/>
        </w:rPr>
        <w:t xml:space="preserve">republicată, cu modificările </w:t>
      </w:r>
      <w:r w:rsidR="001226F7" w:rsidRPr="00EB071B">
        <w:rPr>
          <w:rFonts w:ascii="Times New Roman" w:hAnsi="Times New Roman"/>
          <w:i/>
        </w:rPr>
        <w:t>și</w:t>
      </w:r>
      <w:r w:rsidR="003A4F81" w:rsidRPr="00EB071B">
        <w:rPr>
          <w:rFonts w:ascii="Times New Roman" w:hAnsi="Times New Roman"/>
          <w:i/>
        </w:rPr>
        <w:t xml:space="preserve"> completările ulterioare</w:t>
      </w:r>
      <w:r w:rsidR="00035C7B" w:rsidRPr="00EB071B">
        <w:rPr>
          <w:rFonts w:ascii="Times New Roman" w:hAnsi="Times New Roman"/>
          <w:i/>
        </w:rPr>
        <w:t xml:space="preserve"> (în continuare Lege)</w:t>
      </w:r>
      <w:r w:rsidR="004A13DB" w:rsidRPr="00EB071B">
        <w:rPr>
          <w:rFonts w:ascii="Times New Roman" w:hAnsi="Times New Roman"/>
          <w:i/>
        </w:rPr>
        <w:t>,</w:t>
      </w:r>
    </w:p>
    <w:p w14:paraId="280AE72C" w14:textId="77777777" w:rsidR="00B12A5D" w:rsidRPr="00EB071B" w:rsidRDefault="00383AF6" w:rsidP="00333E9E">
      <w:pPr>
        <w:spacing w:line="276" w:lineRule="auto"/>
        <w:ind w:firstLine="567"/>
        <w:jc w:val="both"/>
        <w:rPr>
          <w:rFonts w:ascii="Times New Roman" w:hAnsi="Times New Roman"/>
          <w:i/>
        </w:rPr>
      </w:pPr>
      <w:r w:rsidRPr="00EB071B">
        <w:rPr>
          <w:rFonts w:ascii="Times New Roman" w:hAnsi="Times New Roman"/>
          <w:i/>
        </w:rPr>
        <w:tab/>
      </w:r>
      <w:r w:rsidR="00CE04DA" w:rsidRPr="00EB071B">
        <w:rPr>
          <w:rFonts w:ascii="Times New Roman" w:eastAsia="Calibri" w:hAnsi="Times New Roman"/>
          <w:i/>
          <w:lang w:eastAsia="en-US"/>
        </w:rPr>
        <w:t>A</w:t>
      </w:r>
      <w:r w:rsidR="00403B00" w:rsidRPr="00EB071B">
        <w:rPr>
          <w:rFonts w:ascii="Times New Roman" w:eastAsia="Calibri" w:hAnsi="Times New Roman"/>
          <w:i/>
          <w:lang w:eastAsia="en-US"/>
        </w:rPr>
        <w:t>vând în vedere propuner</w:t>
      </w:r>
      <w:r w:rsidR="001226F7" w:rsidRPr="00EB071B">
        <w:rPr>
          <w:rFonts w:ascii="Times New Roman" w:eastAsia="Calibri" w:hAnsi="Times New Roman"/>
          <w:i/>
          <w:lang w:eastAsia="en-US"/>
        </w:rPr>
        <w:t xml:space="preserve">ea </w:t>
      </w:r>
      <w:r w:rsidR="00EA3C14" w:rsidRPr="00EB071B">
        <w:rPr>
          <w:rFonts w:ascii="Times New Roman" w:eastAsia="Calibri" w:hAnsi="Times New Roman"/>
          <w:i/>
          <w:lang w:eastAsia="en-US"/>
        </w:rPr>
        <w:t xml:space="preserve">Comisiei Permanente a Uniunii Naționale a Barourilor din România (în continuare </w:t>
      </w:r>
      <w:r w:rsidR="00035C7B" w:rsidRPr="00EB071B">
        <w:rPr>
          <w:rFonts w:ascii="Times New Roman" w:eastAsia="Calibri" w:hAnsi="Times New Roman"/>
          <w:i/>
          <w:lang w:eastAsia="en-US"/>
        </w:rPr>
        <w:t>U</w:t>
      </w:r>
      <w:r w:rsidR="00B12A5D" w:rsidRPr="00EB071B">
        <w:rPr>
          <w:rFonts w:ascii="Times New Roman" w:eastAsia="Calibri" w:hAnsi="Times New Roman"/>
          <w:i/>
          <w:lang w:eastAsia="en-US"/>
        </w:rPr>
        <w:t>.</w:t>
      </w:r>
      <w:r w:rsidR="00035C7B" w:rsidRPr="00EB071B">
        <w:rPr>
          <w:rFonts w:ascii="Times New Roman" w:eastAsia="Calibri" w:hAnsi="Times New Roman"/>
          <w:i/>
          <w:lang w:eastAsia="en-US"/>
        </w:rPr>
        <w:t>N</w:t>
      </w:r>
      <w:r w:rsidR="00B12A5D" w:rsidRPr="00EB071B">
        <w:rPr>
          <w:rFonts w:ascii="Times New Roman" w:eastAsia="Calibri" w:hAnsi="Times New Roman"/>
          <w:i/>
          <w:lang w:eastAsia="en-US"/>
        </w:rPr>
        <w:t>.</w:t>
      </w:r>
      <w:r w:rsidR="00035C7B" w:rsidRPr="00EB071B">
        <w:rPr>
          <w:rFonts w:ascii="Times New Roman" w:eastAsia="Calibri" w:hAnsi="Times New Roman"/>
          <w:i/>
          <w:lang w:eastAsia="en-US"/>
        </w:rPr>
        <w:t>B</w:t>
      </w:r>
      <w:r w:rsidR="00B12A5D" w:rsidRPr="00EB071B">
        <w:rPr>
          <w:rFonts w:ascii="Times New Roman" w:eastAsia="Calibri" w:hAnsi="Times New Roman"/>
          <w:i/>
          <w:lang w:eastAsia="en-US"/>
        </w:rPr>
        <w:t>.</w:t>
      </w:r>
      <w:r w:rsidR="00035C7B" w:rsidRPr="00EB071B">
        <w:rPr>
          <w:rFonts w:ascii="Times New Roman" w:eastAsia="Calibri" w:hAnsi="Times New Roman"/>
          <w:i/>
          <w:lang w:eastAsia="en-US"/>
        </w:rPr>
        <w:t>R</w:t>
      </w:r>
      <w:r w:rsidR="00B12A5D" w:rsidRPr="00EB071B">
        <w:rPr>
          <w:rFonts w:ascii="Times New Roman" w:eastAsia="Calibri" w:hAnsi="Times New Roman"/>
          <w:i/>
          <w:lang w:eastAsia="en-US"/>
        </w:rPr>
        <w:t>.</w:t>
      </w:r>
      <w:r w:rsidR="00035C7B" w:rsidRPr="00EB071B">
        <w:rPr>
          <w:rFonts w:ascii="Times New Roman" w:eastAsia="Calibri" w:hAnsi="Times New Roman"/>
          <w:i/>
          <w:lang w:eastAsia="en-US"/>
        </w:rPr>
        <w:t xml:space="preserve">) </w:t>
      </w:r>
      <w:r w:rsidR="00EA3C14" w:rsidRPr="00EB071B">
        <w:rPr>
          <w:rFonts w:ascii="Times New Roman" w:eastAsia="Calibri" w:hAnsi="Times New Roman"/>
          <w:i/>
          <w:lang w:eastAsia="en-US"/>
        </w:rPr>
        <w:t xml:space="preserve">din </w:t>
      </w:r>
      <w:r w:rsidR="00B12A5D" w:rsidRPr="00EB071B">
        <w:rPr>
          <w:rFonts w:ascii="Times New Roman" w:eastAsia="Calibri" w:hAnsi="Times New Roman"/>
          <w:i/>
          <w:lang w:eastAsia="en-US"/>
        </w:rPr>
        <w:t>18 februarie 2022</w:t>
      </w:r>
      <w:r w:rsidR="00333E9E" w:rsidRPr="00EB071B">
        <w:rPr>
          <w:rFonts w:ascii="Times New Roman" w:eastAsia="Calibri" w:hAnsi="Times New Roman"/>
          <w:i/>
          <w:lang w:eastAsia="en-US"/>
        </w:rPr>
        <w:t xml:space="preserve"> (sistem videoconferință)</w:t>
      </w:r>
      <w:r w:rsidR="00EA3C14" w:rsidRPr="00EB071B">
        <w:rPr>
          <w:rFonts w:ascii="Times New Roman" w:eastAsia="Calibri" w:hAnsi="Times New Roman"/>
          <w:i/>
          <w:lang w:eastAsia="en-US"/>
        </w:rPr>
        <w:t>,</w:t>
      </w:r>
      <w:r w:rsidR="00035C7B" w:rsidRPr="00EB071B">
        <w:rPr>
          <w:rFonts w:ascii="Times New Roman" w:eastAsia="Calibri" w:hAnsi="Times New Roman"/>
          <w:i/>
          <w:lang w:eastAsia="en-US"/>
        </w:rPr>
        <w:t xml:space="preserve"> privind </w:t>
      </w:r>
      <w:r w:rsidR="00B12A5D" w:rsidRPr="00EB071B">
        <w:rPr>
          <w:rFonts w:ascii="Times New Roman" w:eastAsia="Calibri" w:hAnsi="Times New Roman"/>
          <w:i/>
          <w:lang w:eastAsia="en-US"/>
        </w:rPr>
        <w:t>aprobarea Strategiei</w:t>
      </w:r>
      <w:r w:rsidR="00B12A5D" w:rsidRPr="00EB071B">
        <w:rPr>
          <w:rFonts w:ascii="Times New Roman" w:hAnsi="Times New Roman"/>
          <w:i/>
        </w:rPr>
        <w:t xml:space="preserve"> de comunicare pentru 2022 și a tem</w:t>
      </w:r>
      <w:r w:rsidR="00333E9E" w:rsidRPr="00EB071B">
        <w:rPr>
          <w:rFonts w:ascii="Times New Roman" w:hAnsi="Times New Roman"/>
          <w:i/>
        </w:rPr>
        <w:t xml:space="preserve">ei </w:t>
      </w:r>
      <w:r w:rsidR="00B12A5D" w:rsidRPr="00EB071B">
        <w:rPr>
          <w:rFonts w:ascii="Times New Roman" w:hAnsi="Times New Roman"/>
          <w:i/>
        </w:rPr>
        <w:t>principal</w:t>
      </w:r>
      <w:r w:rsidR="00333E9E" w:rsidRPr="00EB071B">
        <w:rPr>
          <w:rFonts w:ascii="Times New Roman" w:hAnsi="Times New Roman"/>
          <w:i/>
        </w:rPr>
        <w:t>e</w:t>
      </w:r>
      <w:r w:rsidR="00B12A5D" w:rsidRPr="00EB071B">
        <w:rPr>
          <w:rFonts w:ascii="Times New Roman" w:hAnsi="Times New Roman"/>
          <w:i/>
        </w:rPr>
        <w:t xml:space="preserve"> a anului 2022 „Avocatura în schimbare. Provocări</w:t>
      </w:r>
      <w:r w:rsidR="0016341F" w:rsidRPr="00EB071B">
        <w:rPr>
          <w:rFonts w:ascii="Times New Roman" w:hAnsi="Times New Roman"/>
          <w:i/>
        </w:rPr>
        <w:t>.</w:t>
      </w:r>
      <w:r w:rsidR="00333E9E" w:rsidRPr="00EB071B">
        <w:rPr>
          <w:rFonts w:ascii="Times New Roman" w:hAnsi="Times New Roman"/>
          <w:i/>
        </w:rPr>
        <w:t>”</w:t>
      </w:r>
      <w:r w:rsidR="0016341F" w:rsidRPr="00EB071B">
        <w:rPr>
          <w:rFonts w:ascii="Times New Roman" w:hAnsi="Times New Roman"/>
          <w:i/>
        </w:rPr>
        <w:t>,</w:t>
      </w:r>
    </w:p>
    <w:p w14:paraId="455354A8" w14:textId="77777777" w:rsidR="00383AF6" w:rsidRPr="00EB071B" w:rsidRDefault="006C3DF3" w:rsidP="0085151A">
      <w:pPr>
        <w:spacing w:line="276" w:lineRule="auto"/>
        <w:ind w:firstLine="567"/>
        <w:jc w:val="both"/>
        <w:rPr>
          <w:rFonts w:ascii="Times New Roman" w:hAnsi="Times New Roman"/>
          <w:i/>
        </w:rPr>
      </w:pPr>
      <w:r w:rsidRPr="00EB071B">
        <w:rPr>
          <w:rFonts w:ascii="Times New Roman" w:eastAsia="Calibri" w:hAnsi="Times New Roman"/>
          <w:i/>
          <w:lang w:eastAsia="en-US"/>
        </w:rPr>
        <w:t>Pe baza</w:t>
      </w:r>
      <w:r w:rsidR="00143FCF" w:rsidRPr="00EB071B">
        <w:rPr>
          <w:rFonts w:ascii="Times New Roman" w:eastAsia="Calibri" w:hAnsi="Times New Roman"/>
          <w:i/>
          <w:lang w:eastAsia="en-US"/>
        </w:rPr>
        <w:t xml:space="preserve"> dezbateril</w:t>
      </w:r>
      <w:r w:rsidR="00E06096" w:rsidRPr="00EB071B">
        <w:rPr>
          <w:rFonts w:ascii="Times New Roman" w:eastAsia="Calibri" w:hAnsi="Times New Roman"/>
          <w:i/>
          <w:lang w:eastAsia="en-US"/>
        </w:rPr>
        <w:t>or</w:t>
      </w:r>
      <w:r w:rsidR="00143FCF" w:rsidRPr="00EB071B">
        <w:rPr>
          <w:rFonts w:ascii="Times New Roman" w:eastAsia="Calibri" w:hAnsi="Times New Roman"/>
          <w:i/>
          <w:lang w:eastAsia="en-US"/>
        </w:rPr>
        <w:t xml:space="preserve"> din ședința </w:t>
      </w:r>
      <w:r w:rsidR="00EA3C14" w:rsidRPr="00EB071B">
        <w:rPr>
          <w:rFonts w:ascii="Times New Roman" w:eastAsia="Calibri" w:hAnsi="Times New Roman"/>
          <w:i/>
          <w:lang w:eastAsia="en-US"/>
        </w:rPr>
        <w:t xml:space="preserve">Consiliului </w:t>
      </w:r>
      <w:r w:rsidR="005D207E">
        <w:rPr>
          <w:rFonts w:ascii="Times New Roman" w:eastAsia="Calibri" w:hAnsi="Times New Roman"/>
          <w:i/>
          <w:lang w:eastAsia="en-US"/>
        </w:rPr>
        <w:t>U.N.B.R.</w:t>
      </w:r>
      <w:r w:rsidR="00EA3C14" w:rsidRPr="00EB071B">
        <w:rPr>
          <w:rFonts w:ascii="Times New Roman" w:eastAsia="Calibri" w:hAnsi="Times New Roman"/>
          <w:i/>
          <w:lang w:eastAsia="en-US"/>
        </w:rPr>
        <w:t xml:space="preserve"> </w:t>
      </w:r>
      <w:r w:rsidR="00ED568C" w:rsidRPr="00EB071B">
        <w:rPr>
          <w:rFonts w:ascii="Times New Roman" w:eastAsia="Calibri" w:hAnsi="Times New Roman"/>
          <w:i/>
          <w:lang w:eastAsia="en-US"/>
        </w:rPr>
        <w:t xml:space="preserve">din </w:t>
      </w:r>
      <w:r w:rsidR="004B697C" w:rsidRPr="00EB071B">
        <w:rPr>
          <w:rFonts w:ascii="Times New Roman" w:eastAsia="Calibri" w:hAnsi="Times New Roman"/>
          <w:i/>
          <w:lang w:eastAsia="en-US"/>
        </w:rPr>
        <w:t>11-12 martie 2022</w:t>
      </w:r>
      <w:r w:rsidR="00333E9E" w:rsidRPr="00EB071B">
        <w:rPr>
          <w:rFonts w:ascii="Times New Roman" w:eastAsia="Calibri" w:hAnsi="Times New Roman"/>
          <w:i/>
          <w:lang w:eastAsia="en-US"/>
        </w:rPr>
        <w:t xml:space="preserve"> și luând în considerare proiectul de buget care cuprinde prevederi bugetare specifice pentru sprijinirea barourilor să organizeze activități legate </w:t>
      </w:r>
      <w:r w:rsidR="0016341F" w:rsidRPr="00EB071B">
        <w:rPr>
          <w:rFonts w:ascii="Times New Roman" w:eastAsia="Calibri" w:hAnsi="Times New Roman"/>
          <w:i/>
          <w:lang w:eastAsia="en-US"/>
        </w:rPr>
        <w:t>tema principală a anului 2022;</w:t>
      </w:r>
    </w:p>
    <w:p w14:paraId="28E38A6C" w14:textId="77777777" w:rsidR="00383AF6" w:rsidRPr="00EB071B" w:rsidRDefault="00383AF6" w:rsidP="0085151A">
      <w:pPr>
        <w:spacing w:line="276" w:lineRule="auto"/>
        <w:ind w:firstLine="567"/>
        <w:jc w:val="both"/>
        <w:rPr>
          <w:rFonts w:ascii="Times New Roman" w:hAnsi="Times New Roman"/>
          <w:i/>
        </w:rPr>
      </w:pPr>
      <w:r w:rsidRPr="00EB071B">
        <w:rPr>
          <w:rFonts w:ascii="Times New Roman" w:hAnsi="Times New Roman"/>
          <w:i/>
        </w:rPr>
        <w:t>Consiliul</w:t>
      </w:r>
      <w:r w:rsidR="00312AC7" w:rsidRPr="00EB071B">
        <w:rPr>
          <w:rFonts w:ascii="Times New Roman" w:hAnsi="Times New Roman"/>
          <w:i/>
        </w:rPr>
        <w:t xml:space="preserve"> U.N.B.R.</w:t>
      </w:r>
      <w:r w:rsidR="006C3DF3" w:rsidRPr="00EB071B">
        <w:rPr>
          <w:rFonts w:ascii="Times New Roman" w:hAnsi="Times New Roman"/>
          <w:i/>
        </w:rPr>
        <w:t xml:space="preserve"> </w:t>
      </w:r>
      <w:r w:rsidRPr="00EB071B">
        <w:rPr>
          <w:rFonts w:ascii="Times New Roman" w:hAnsi="Times New Roman"/>
          <w:i/>
        </w:rPr>
        <w:t>adoptă prezenta:</w:t>
      </w:r>
    </w:p>
    <w:p w14:paraId="3C421F76" w14:textId="77777777" w:rsidR="0085151A" w:rsidRPr="00EB071B" w:rsidRDefault="0085151A" w:rsidP="0085151A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FBDBD9E" w14:textId="77777777" w:rsidR="00383AF6" w:rsidRPr="00EB071B" w:rsidRDefault="00383AF6" w:rsidP="0085151A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B071B">
        <w:rPr>
          <w:rFonts w:ascii="Times New Roman" w:hAnsi="Times New Roman"/>
          <w:b/>
          <w:bCs/>
          <w:sz w:val="28"/>
          <w:szCs w:val="28"/>
        </w:rPr>
        <w:t>HOTĂRÂRE:</w:t>
      </w:r>
    </w:p>
    <w:p w14:paraId="3D2048BD" w14:textId="77777777" w:rsidR="0085151A" w:rsidRPr="00EB071B" w:rsidRDefault="0085151A" w:rsidP="0085151A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A935B8C" w14:textId="77777777" w:rsidR="00333E9E" w:rsidRPr="00EB071B" w:rsidRDefault="00383AF6" w:rsidP="00333E9E">
      <w:pPr>
        <w:spacing w:line="276" w:lineRule="auto"/>
        <w:ind w:firstLine="567"/>
        <w:jc w:val="both"/>
        <w:rPr>
          <w:rFonts w:ascii="Times New Roman" w:hAnsi="Times New Roman"/>
        </w:rPr>
      </w:pPr>
      <w:r w:rsidRPr="00EB071B">
        <w:rPr>
          <w:rFonts w:ascii="Times New Roman" w:hAnsi="Times New Roman"/>
          <w:b/>
          <w:bCs/>
          <w:sz w:val="28"/>
          <w:szCs w:val="28"/>
        </w:rPr>
        <w:tab/>
      </w:r>
      <w:r w:rsidRPr="00EB071B">
        <w:rPr>
          <w:rFonts w:ascii="Times New Roman" w:hAnsi="Times New Roman"/>
          <w:b/>
          <w:bCs/>
        </w:rPr>
        <w:t>Art. 1</w:t>
      </w:r>
      <w:r w:rsidRPr="00EB071B">
        <w:rPr>
          <w:rFonts w:ascii="Times New Roman" w:hAnsi="Times New Roman"/>
          <w:bCs/>
        </w:rPr>
        <w:t xml:space="preserve"> </w:t>
      </w:r>
      <w:r w:rsidR="00312AC7" w:rsidRPr="00EB071B">
        <w:rPr>
          <w:rFonts w:ascii="Times New Roman" w:hAnsi="Times New Roman"/>
          <w:b/>
          <w:bCs/>
        </w:rPr>
        <w:t>–</w:t>
      </w:r>
      <w:r w:rsidR="00EA3C14" w:rsidRPr="00EB071B">
        <w:rPr>
          <w:rFonts w:ascii="Times New Roman" w:hAnsi="Times New Roman"/>
          <w:b/>
          <w:bCs/>
        </w:rPr>
        <w:t xml:space="preserve"> </w:t>
      </w:r>
      <w:r w:rsidR="00333E9E" w:rsidRPr="00EB071B">
        <w:rPr>
          <w:rFonts w:ascii="Times New Roman" w:hAnsi="Times New Roman"/>
          <w:bCs/>
        </w:rPr>
        <w:t xml:space="preserve">Se aprobă </w:t>
      </w:r>
      <w:r w:rsidR="00333E9E" w:rsidRPr="00EB071B">
        <w:rPr>
          <w:rFonts w:ascii="Times New Roman" w:eastAsia="Calibri" w:hAnsi="Times New Roman"/>
          <w:iCs/>
          <w:lang w:eastAsia="en-US"/>
        </w:rPr>
        <w:t>Strategia</w:t>
      </w:r>
      <w:r w:rsidR="00333E9E" w:rsidRPr="00EB071B">
        <w:rPr>
          <w:rFonts w:ascii="Times New Roman" w:hAnsi="Times New Roman"/>
          <w:iCs/>
        </w:rPr>
        <w:t xml:space="preserve"> de comunicare pentru 2022</w:t>
      </w:r>
      <w:r w:rsidR="00D1592C" w:rsidRPr="00D1592C">
        <w:rPr>
          <w:rFonts w:ascii="Times New Roman" w:hAnsi="Times New Roman"/>
        </w:rPr>
        <w:t xml:space="preserve"> </w:t>
      </w:r>
      <w:r w:rsidR="00D1592C" w:rsidRPr="00EB071B">
        <w:rPr>
          <w:rFonts w:ascii="Times New Roman" w:hAnsi="Times New Roman"/>
        </w:rPr>
        <w:t>și tema principală a anului 2022</w:t>
      </w:r>
      <w:r w:rsidR="0016341F" w:rsidRPr="00EB071B">
        <w:rPr>
          <w:rFonts w:ascii="Times New Roman" w:hAnsi="Times New Roman"/>
          <w:iCs/>
        </w:rPr>
        <w:t>, cuprins</w:t>
      </w:r>
      <w:r w:rsidR="00D1592C">
        <w:rPr>
          <w:rFonts w:ascii="Times New Roman" w:hAnsi="Times New Roman"/>
          <w:iCs/>
        </w:rPr>
        <w:t>e</w:t>
      </w:r>
      <w:r w:rsidR="0016341F" w:rsidRPr="00EB071B">
        <w:rPr>
          <w:rFonts w:ascii="Times New Roman" w:hAnsi="Times New Roman"/>
          <w:iCs/>
        </w:rPr>
        <w:t xml:space="preserve"> în anexa la prezenta hotărâre</w:t>
      </w:r>
      <w:r w:rsidR="00333E9E" w:rsidRPr="00EB071B">
        <w:rPr>
          <w:rFonts w:ascii="Times New Roman" w:hAnsi="Times New Roman"/>
        </w:rPr>
        <w:t xml:space="preserve"> „</w:t>
      </w:r>
      <w:r w:rsidR="00D1592C" w:rsidRPr="00D1592C">
        <w:rPr>
          <w:rFonts w:ascii="Times New Roman" w:hAnsi="Times New Roman"/>
          <w:i/>
          <w:iCs/>
        </w:rPr>
        <w:t>Avocatura azi. Tendințe și perspective</w:t>
      </w:r>
      <w:r w:rsidR="00333E9E" w:rsidRPr="00EB071B">
        <w:rPr>
          <w:rFonts w:ascii="Times New Roman" w:hAnsi="Times New Roman"/>
        </w:rPr>
        <w:t>”.</w:t>
      </w:r>
    </w:p>
    <w:p w14:paraId="222BB804" w14:textId="77777777" w:rsidR="00312AC7" w:rsidRPr="00EB071B" w:rsidRDefault="00312AC7" w:rsidP="0085151A">
      <w:pPr>
        <w:spacing w:line="276" w:lineRule="auto"/>
        <w:jc w:val="both"/>
        <w:rPr>
          <w:rFonts w:ascii="Times New Roman" w:hAnsi="Times New Roman"/>
          <w:bCs/>
        </w:rPr>
      </w:pPr>
    </w:p>
    <w:p w14:paraId="023F471A" w14:textId="77777777" w:rsidR="00902573" w:rsidRPr="00EB071B" w:rsidRDefault="00312AC7" w:rsidP="00333E9E">
      <w:pPr>
        <w:spacing w:line="276" w:lineRule="auto"/>
        <w:ind w:firstLine="720"/>
        <w:jc w:val="both"/>
        <w:rPr>
          <w:rFonts w:ascii="Times New Roman" w:hAnsi="Times New Roman"/>
        </w:rPr>
      </w:pPr>
      <w:r w:rsidRPr="00EB071B">
        <w:rPr>
          <w:rFonts w:ascii="Times New Roman" w:hAnsi="Times New Roman"/>
          <w:b/>
          <w:bCs/>
        </w:rPr>
        <w:t xml:space="preserve">Art. 2 </w:t>
      </w:r>
      <w:r w:rsidRPr="00EB071B">
        <w:rPr>
          <w:rFonts w:ascii="Times New Roman" w:hAnsi="Times New Roman"/>
        </w:rPr>
        <w:t xml:space="preserve">– </w:t>
      </w:r>
      <w:r w:rsidR="00333E9E" w:rsidRPr="00EB071B">
        <w:rPr>
          <w:rFonts w:ascii="Times New Roman" w:hAnsi="Times New Roman"/>
        </w:rPr>
        <w:t>U</w:t>
      </w:r>
      <w:r w:rsidR="0082038F" w:rsidRPr="00EB071B">
        <w:rPr>
          <w:rFonts w:ascii="Times New Roman" w:hAnsi="Times New Roman"/>
        </w:rPr>
        <w:t>.</w:t>
      </w:r>
      <w:r w:rsidR="00333E9E" w:rsidRPr="00EB071B">
        <w:rPr>
          <w:rFonts w:ascii="Times New Roman" w:hAnsi="Times New Roman"/>
        </w:rPr>
        <w:t>N</w:t>
      </w:r>
      <w:r w:rsidR="0082038F" w:rsidRPr="00EB071B">
        <w:rPr>
          <w:rFonts w:ascii="Times New Roman" w:hAnsi="Times New Roman"/>
        </w:rPr>
        <w:t>.</w:t>
      </w:r>
      <w:r w:rsidR="00333E9E" w:rsidRPr="00EB071B">
        <w:rPr>
          <w:rFonts w:ascii="Times New Roman" w:hAnsi="Times New Roman"/>
        </w:rPr>
        <w:t>B</w:t>
      </w:r>
      <w:r w:rsidR="0082038F" w:rsidRPr="00EB071B">
        <w:rPr>
          <w:rFonts w:ascii="Times New Roman" w:hAnsi="Times New Roman"/>
        </w:rPr>
        <w:t>.</w:t>
      </w:r>
      <w:r w:rsidR="00333E9E" w:rsidRPr="00EB071B">
        <w:rPr>
          <w:rFonts w:ascii="Times New Roman" w:hAnsi="Times New Roman"/>
        </w:rPr>
        <w:t>R</w:t>
      </w:r>
      <w:r w:rsidR="0082038F" w:rsidRPr="00EB071B">
        <w:rPr>
          <w:rFonts w:ascii="Times New Roman" w:hAnsi="Times New Roman"/>
        </w:rPr>
        <w:t>.</w:t>
      </w:r>
      <w:r w:rsidR="00333E9E" w:rsidRPr="00EB071B">
        <w:rPr>
          <w:rFonts w:ascii="Times New Roman" w:hAnsi="Times New Roman"/>
        </w:rPr>
        <w:t xml:space="preserve"> va sprijini barourile în organizarea de întâlniri cu avocații pentru a discuta tendințe și provocări pe care aceștia le întâmpină în exercitarea profesiei de avocat, la nivelul întregii țări, sub egida temei sus menționate.</w:t>
      </w:r>
    </w:p>
    <w:p w14:paraId="50975529" w14:textId="77777777" w:rsidR="009F7EC9" w:rsidRPr="00EB071B" w:rsidRDefault="009F7EC9" w:rsidP="0085151A">
      <w:pPr>
        <w:spacing w:line="276" w:lineRule="auto"/>
        <w:jc w:val="both"/>
        <w:rPr>
          <w:rFonts w:ascii="Times New Roman" w:hAnsi="Times New Roman"/>
          <w:bCs/>
        </w:rPr>
      </w:pPr>
    </w:p>
    <w:p w14:paraId="58AADFE2" w14:textId="77777777" w:rsidR="00A36887" w:rsidRPr="00EB071B" w:rsidRDefault="00A36887" w:rsidP="00A36887">
      <w:pPr>
        <w:spacing w:line="276" w:lineRule="auto"/>
        <w:ind w:firstLine="720"/>
        <w:jc w:val="both"/>
        <w:rPr>
          <w:rFonts w:ascii="Times New Roman" w:hAnsi="Times New Roman"/>
          <w:bCs/>
        </w:rPr>
      </w:pPr>
      <w:r w:rsidRPr="00EB071B">
        <w:rPr>
          <w:rFonts w:ascii="Times New Roman" w:hAnsi="Times New Roman"/>
          <w:b/>
          <w:bCs/>
        </w:rPr>
        <w:t>Art. 3</w:t>
      </w:r>
      <w:r w:rsidRPr="00EB071B">
        <w:rPr>
          <w:rFonts w:ascii="Times New Roman" w:hAnsi="Times New Roman"/>
          <w:bCs/>
        </w:rPr>
        <w:t xml:space="preserve"> </w:t>
      </w:r>
      <w:r w:rsidR="00237DBE" w:rsidRPr="00EB071B">
        <w:rPr>
          <w:rFonts w:ascii="Times New Roman" w:hAnsi="Times New Roman"/>
        </w:rPr>
        <w:t xml:space="preserve">– </w:t>
      </w:r>
      <w:r w:rsidR="00221BB3" w:rsidRPr="00EB071B">
        <w:rPr>
          <w:rFonts w:ascii="Times New Roman" w:hAnsi="Times New Roman"/>
          <w:bCs/>
        </w:rPr>
        <w:t xml:space="preserve">Se </w:t>
      </w:r>
      <w:r w:rsidRPr="00EB071B">
        <w:rPr>
          <w:rFonts w:ascii="Times New Roman" w:hAnsi="Times New Roman"/>
        </w:rPr>
        <w:t xml:space="preserve">mandatează </w:t>
      </w:r>
      <w:r w:rsidRPr="00EB071B">
        <w:rPr>
          <w:rFonts w:ascii="Times New Roman" w:hAnsi="Times New Roman"/>
          <w:bCs/>
        </w:rPr>
        <w:t xml:space="preserve">Comisia Permanentă să </w:t>
      </w:r>
      <w:r w:rsidR="0016341F" w:rsidRPr="00EB071B">
        <w:rPr>
          <w:rFonts w:ascii="Times New Roman" w:hAnsi="Times New Roman"/>
          <w:bCs/>
        </w:rPr>
        <w:t xml:space="preserve">decidă cu privire la </w:t>
      </w:r>
      <w:r w:rsidR="008A58F2" w:rsidRPr="00EB071B">
        <w:rPr>
          <w:rFonts w:ascii="Times New Roman" w:hAnsi="Times New Roman"/>
          <w:bCs/>
        </w:rPr>
        <w:t xml:space="preserve">toate aspectele legate de </w:t>
      </w:r>
      <w:r w:rsidR="0016341F" w:rsidRPr="00EB071B">
        <w:rPr>
          <w:rFonts w:ascii="Times New Roman" w:hAnsi="Times New Roman"/>
          <w:bCs/>
        </w:rPr>
        <w:t xml:space="preserve">dezbaterea </w:t>
      </w:r>
      <w:r w:rsidR="008A58F2" w:rsidRPr="00EB071B">
        <w:rPr>
          <w:rFonts w:ascii="Times New Roman" w:hAnsi="Times New Roman"/>
          <w:bCs/>
        </w:rPr>
        <w:t>tem</w:t>
      </w:r>
      <w:r w:rsidR="00D741B1">
        <w:rPr>
          <w:rFonts w:ascii="Times New Roman" w:hAnsi="Times New Roman"/>
          <w:bCs/>
        </w:rPr>
        <w:t>ei</w:t>
      </w:r>
      <w:r w:rsidR="008A58F2" w:rsidRPr="00EB071B">
        <w:rPr>
          <w:rFonts w:ascii="Times New Roman" w:hAnsi="Times New Roman"/>
          <w:bCs/>
        </w:rPr>
        <w:t xml:space="preserve"> prevăzută la art. </w:t>
      </w:r>
      <w:r w:rsidR="0016341F" w:rsidRPr="00EB071B">
        <w:rPr>
          <w:rFonts w:ascii="Times New Roman" w:hAnsi="Times New Roman"/>
          <w:bCs/>
        </w:rPr>
        <w:t>1</w:t>
      </w:r>
      <w:r w:rsidR="008A58F2" w:rsidRPr="00EB071B">
        <w:rPr>
          <w:rFonts w:ascii="Times New Roman" w:hAnsi="Times New Roman"/>
          <w:bCs/>
        </w:rPr>
        <w:t xml:space="preserve"> din prezenta hotărâre</w:t>
      </w:r>
      <w:r w:rsidR="0016341F" w:rsidRPr="00EB071B">
        <w:rPr>
          <w:rFonts w:ascii="Times New Roman" w:hAnsi="Times New Roman"/>
          <w:bCs/>
        </w:rPr>
        <w:t>, urmând a informa Consiliul U.N.B.R..</w:t>
      </w:r>
    </w:p>
    <w:p w14:paraId="2E5BD7B7" w14:textId="77777777" w:rsidR="00BA0371" w:rsidRPr="00EB071B" w:rsidRDefault="00BA0371" w:rsidP="0085151A">
      <w:pPr>
        <w:spacing w:line="276" w:lineRule="auto"/>
        <w:jc w:val="both"/>
        <w:rPr>
          <w:rFonts w:ascii="Times New Roman" w:hAnsi="Times New Roman"/>
          <w:bCs/>
        </w:rPr>
      </w:pPr>
    </w:p>
    <w:p w14:paraId="146F4F91" w14:textId="77777777" w:rsidR="00380F2A" w:rsidRPr="00EB071B" w:rsidRDefault="00BA0371" w:rsidP="0085151A">
      <w:pPr>
        <w:spacing w:line="276" w:lineRule="auto"/>
        <w:ind w:firstLine="720"/>
        <w:jc w:val="both"/>
        <w:rPr>
          <w:rFonts w:ascii="Times New Roman" w:hAnsi="Times New Roman"/>
          <w:bCs/>
        </w:rPr>
      </w:pPr>
      <w:r w:rsidRPr="00EB071B">
        <w:rPr>
          <w:rFonts w:ascii="Times New Roman" w:hAnsi="Times New Roman"/>
          <w:b/>
          <w:bCs/>
        </w:rPr>
        <w:t xml:space="preserve">Art. </w:t>
      </w:r>
      <w:r w:rsidR="008A58F2" w:rsidRPr="00EB071B">
        <w:rPr>
          <w:rFonts w:ascii="Times New Roman" w:hAnsi="Times New Roman"/>
          <w:b/>
          <w:bCs/>
        </w:rPr>
        <w:t>4</w:t>
      </w:r>
      <w:r w:rsidRPr="00EB071B">
        <w:rPr>
          <w:rFonts w:ascii="Times New Roman" w:hAnsi="Times New Roman"/>
          <w:bCs/>
        </w:rPr>
        <w:t xml:space="preserve"> – Prezenta hotărâre se comunică membrilor Consiliului U</w:t>
      </w:r>
      <w:r w:rsidR="0063310E" w:rsidRPr="00EB071B">
        <w:rPr>
          <w:rFonts w:ascii="Times New Roman" w:hAnsi="Times New Roman"/>
          <w:bCs/>
        </w:rPr>
        <w:t>.</w:t>
      </w:r>
      <w:r w:rsidRPr="00EB071B">
        <w:rPr>
          <w:rFonts w:ascii="Times New Roman" w:hAnsi="Times New Roman"/>
          <w:bCs/>
        </w:rPr>
        <w:t>N</w:t>
      </w:r>
      <w:r w:rsidR="0063310E" w:rsidRPr="00EB071B">
        <w:rPr>
          <w:rFonts w:ascii="Times New Roman" w:hAnsi="Times New Roman"/>
          <w:bCs/>
        </w:rPr>
        <w:t>.</w:t>
      </w:r>
      <w:r w:rsidRPr="00EB071B">
        <w:rPr>
          <w:rFonts w:ascii="Times New Roman" w:hAnsi="Times New Roman"/>
          <w:bCs/>
        </w:rPr>
        <w:t>B</w:t>
      </w:r>
      <w:r w:rsidR="0063310E" w:rsidRPr="00EB071B">
        <w:rPr>
          <w:rFonts w:ascii="Times New Roman" w:hAnsi="Times New Roman"/>
          <w:bCs/>
        </w:rPr>
        <w:t>.</w:t>
      </w:r>
      <w:r w:rsidRPr="00EB071B">
        <w:rPr>
          <w:rFonts w:ascii="Times New Roman" w:hAnsi="Times New Roman"/>
          <w:bCs/>
        </w:rPr>
        <w:t>R</w:t>
      </w:r>
      <w:r w:rsidR="0063310E" w:rsidRPr="00EB071B">
        <w:rPr>
          <w:rFonts w:ascii="Times New Roman" w:hAnsi="Times New Roman"/>
          <w:bCs/>
        </w:rPr>
        <w:t>.</w:t>
      </w:r>
      <w:r w:rsidR="00221BB3" w:rsidRPr="00EB071B">
        <w:rPr>
          <w:rFonts w:ascii="Times New Roman" w:hAnsi="Times New Roman"/>
          <w:bCs/>
        </w:rPr>
        <w:t xml:space="preserve"> și barourilor</w:t>
      </w:r>
      <w:r w:rsidR="00DE735A" w:rsidRPr="00EB071B">
        <w:rPr>
          <w:rFonts w:ascii="Times New Roman" w:hAnsi="Times New Roman"/>
          <w:bCs/>
        </w:rPr>
        <w:t xml:space="preserve"> și se p</w:t>
      </w:r>
      <w:r w:rsidR="00FD1058" w:rsidRPr="00EB071B">
        <w:rPr>
          <w:rFonts w:ascii="Times New Roman" w:hAnsi="Times New Roman"/>
          <w:bCs/>
        </w:rPr>
        <w:t>ublică</w:t>
      </w:r>
      <w:r w:rsidR="00DE735A" w:rsidRPr="00EB071B">
        <w:rPr>
          <w:rFonts w:ascii="Times New Roman" w:hAnsi="Times New Roman"/>
          <w:bCs/>
        </w:rPr>
        <w:t xml:space="preserve"> pe website-</w:t>
      </w:r>
      <w:proofErr w:type="spellStart"/>
      <w:r w:rsidR="00DE735A" w:rsidRPr="00EB071B">
        <w:rPr>
          <w:rFonts w:ascii="Times New Roman" w:hAnsi="Times New Roman"/>
          <w:bCs/>
        </w:rPr>
        <w:t>ul</w:t>
      </w:r>
      <w:proofErr w:type="spellEnd"/>
      <w:r w:rsidR="00DE735A" w:rsidRPr="00EB071B">
        <w:rPr>
          <w:rFonts w:ascii="Times New Roman" w:hAnsi="Times New Roman"/>
          <w:bCs/>
        </w:rPr>
        <w:t xml:space="preserve"> U</w:t>
      </w:r>
      <w:r w:rsidR="0063310E" w:rsidRPr="00EB071B">
        <w:rPr>
          <w:rFonts w:ascii="Times New Roman" w:hAnsi="Times New Roman"/>
          <w:bCs/>
        </w:rPr>
        <w:t>.</w:t>
      </w:r>
      <w:r w:rsidR="00DE735A" w:rsidRPr="00EB071B">
        <w:rPr>
          <w:rFonts w:ascii="Times New Roman" w:hAnsi="Times New Roman"/>
          <w:bCs/>
        </w:rPr>
        <w:t>N</w:t>
      </w:r>
      <w:r w:rsidR="0063310E" w:rsidRPr="00EB071B">
        <w:rPr>
          <w:rFonts w:ascii="Times New Roman" w:hAnsi="Times New Roman"/>
          <w:bCs/>
        </w:rPr>
        <w:t>.</w:t>
      </w:r>
      <w:r w:rsidR="00DE735A" w:rsidRPr="00EB071B">
        <w:rPr>
          <w:rFonts w:ascii="Times New Roman" w:hAnsi="Times New Roman"/>
          <w:bCs/>
        </w:rPr>
        <w:t>B</w:t>
      </w:r>
      <w:r w:rsidR="0063310E" w:rsidRPr="00EB071B">
        <w:rPr>
          <w:rFonts w:ascii="Times New Roman" w:hAnsi="Times New Roman"/>
          <w:bCs/>
        </w:rPr>
        <w:t>.</w:t>
      </w:r>
      <w:r w:rsidR="00DE735A" w:rsidRPr="00EB071B">
        <w:rPr>
          <w:rFonts w:ascii="Times New Roman" w:hAnsi="Times New Roman"/>
          <w:bCs/>
        </w:rPr>
        <w:t>R</w:t>
      </w:r>
      <w:r w:rsidR="0063310E" w:rsidRPr="00EB071B">
        <w:rPr>
          <w:rFonts w:ascii="Times New Roman" w:hAnsi="Times New Roman"/>
          <w:bCs/>
        </w:rPr>
        <w:t>.</w:t>
      </w:r>
      <w:r w:rsidR="00DE735A" w:rsidRPr="00EB071B">
        <w:rPr>
          <w:rFonts w:ascii="Times New Roman" w:hAnsi="Times New Roman"/>
          <w:bCs/>
        </w:rPr>
        <w:t>.</w:t>
      </w:r>
    </w:p>
    <w:p w14:paraId="0D4C171D" w14:textId="77777777" w:rsidR="00D670FD" w:rsidRDefault="00D670FD" w:rsidP="0085151A">
      <w:pPr>
        <w:spacing w:line="276" w:lineRule="auto"/>
        <w:ind w:firstLine="720"/>
        <w:jc w:val="both"/>
        <w:rPr>
          <w:rFonts w:ascii="Times New Roman" w:hAnsi="Times New Roman"/>
          <w:bCs/>
        </w:rPr>
      </w:pPr>
    </w:p>
    <w:p w14:paraId="3B1F782C" w14:textId="77777777" w:rsidR="00BB2CC0" w:rsidRDefault="00BB2CC0" w:rsidP="0085151A">
      <w:pPr>
        <w:spacing w:line="276" w:lineRule="auto"/>
        <w:ind w:firstLine="720"/>
        <w:jc w:val="both"/>
        <w:rPr>
          <w:rFonts w:ascii="Times New Roman" w:hAnsi="Times New Roman"/>
          <w:bCs/>
        </w:rPr>
      </w:pPr>
    </w:p>
    <w:p w14:paraId="4151F225" w14:textId="77777777" w:rsidR="00BB2CC0" w:rsidRPr="00EB071B" w:rsidRDefault="00BB2CC0" w:rsidP="0085151A">
      <w:pPr>
        <w:spacing w:line="276" w:lineRule="auto"/>
        <w:ind w:firstLine="720"/>
        <w:jc w:val="both"/>
        <w:rPr>
          <w:rFonts w:ascii="Times New Roman" w:hAnsi="Times New Roman"/>
          <w:bCs/>
        </w:rPr>
      </w:pPr>
    </w:p>
    <w:p w14:paraId="7FC35E30" w14:textId="77777777" w:rsidR="000F101C" w:rsidRPr="00EB071B" w:rsidRDefault="000F101C" w:rsidP="0085151A">
      <w:pPr>
        <w:spacing w:line="276" w:lineRule="auto"/>
        <w:jc w:val="both"/>
        <w:rPr>
          <w:rFonts w:ascii="Times New Roman" w:hAnsi="Times New Roman"/>
          <w:b/>
          <w:bCs/>
        </w:rPr>
      </w:pPr>
    </w:p>
    <w:p w14:paraId="05015519" w14:textId="77777777" w:rsidR="00BB2CC0" w:rsidRPr="00BB2CC0" w:rsidRDefault="00BB2CC0" w:rsidP="00BB2CC0">
      <w:pPr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bookmarkStart w:id="0" w:name="_Hlk5008052"/>
      <w:r w:rsidRPr="00BB2CC0">
        <w:rPr>
          <w:rFonts w:ascii="Times New Roman" w:hAnsi="Times New Roman"/>
          <w:b/>
          <w:sz w:val="28"/>
          <w:szCs w:val="28"/>
        </w:rPr>
        <w:t>C O N S I L I U L     U. N. B. R.</w:t>
      </w:r>
      <w:bookmarkEnd w:id="0"/>
    </w:p>
    <w:p w14:paraId="1F2A44B9" w14:textId="77777777" w:rsidR="0016341F" w:rsidRPr="00EB071B" w:rsidRDefault="0016341F" w:rsidP="0016341F">
      <w:pPr>
        <w:spacing w:line="276" w:lineRule="auto"/>
        <w:ind w:right="29"/>
        <w:jc w:val="right"/>
        <w:rPr>
          <w:rFonts w:ascii="Times New Roman" w:hAnsi="Times New Roman"/>
          <w:b/>
          <w:i/>
          <w:iCs/>
        </w:rPr>
      </w:pPr>
      <w:r w:rsidRPr="00EB071B">
        <w:rPr>
          <w:rFonts w:ascii="Times New Roman" w:hAnsi="Times New Roman"/>
          <w:b/>
          <w:i/>
          <w:iCs/>
        </w:rPr>
        <w:br w:type="page"/>
      </w:r>
      <w:r w:rsidRPr="00EB071B">
        <w:rPr>
          <w:rFonts w:ascii="Times New Roman" w:hAnsi="Times New Roman"/>
          <w:b/>
          <w:i/>
          <w:iCs/>
        </w:rPr>
        <w:lastRenderedPageBreak/>
        <w:t xml:space="preserve">Anexa la </w:t>
      </w:r>
      <w:r w:rsidR="00E06096" w:rsidRPr="00EB071B">
        <w:rPr>
          <w:rFonts w:ascii="Times New Roman" w:hAnsi="Times New Roman"/>
          <w:b/>
          <w:i/>
          <w:iCs/>
        </w:rPr>
        <w:t>H</w:t>
      </w:r>
      <w:r w:rsidRPr="00EB071B">
        <w:rPr>
          <w:rFonts w:ascii="Times New Roman" w:hAnsi="Times New Roman"/>
          <w:b/>
          <w:i/>
          <w:iCs/>
        </w:rPr>
        <w:t>otărârea Consiliului U.N.B.R. nr. 235/11-12.03.2022</w:t>
      </w:r>
    </w:p>
    <w:p w14:paraId="339B403B" w14:textId="77777777" w:rsidR="00F424AC" w:rsidRDefault="00F424AC" w:rsidP="0016341F">
      <w:pPr>
        <w:spacing w:line="276" w:lineRule="auto"/>
        <w:ind w:right="29"/>
        <w:jc w:val="right"/>
        <w:rPr>
          <w:rFonts w:ascii="Times New Roman" w:hAnsi="Times New Roman"/>
          <w:b/>
          <w:i/>
          <w:iCs/>
          <w:sz w:val="28"/>
          <w:szCs w:val="28"/>
        </w:rPr>
      </w:pPr>
    </w:p>
    <w:p w14:paraId="65FBD4CC" w14:textId="77777777" w:rsidR="001253FD" w:rsidRPr="00EB071B" w:rsidRDefault="001253FD" w:rsidP="0016341F">
      <w:pPr>
        <w:spacing w:line="276" w:lineRule="auto"/>
        <w:ind w:right="29"/>
        <w:jc w:val="right"/>
        <w:rPr>
          <w:rFonts w:ascii="Times New Roman" w:hAnsi="Times New Roman"/>
          <w:b/>
          <w:i/>
          <w:iCs/>
          <w:sz w:val="28"/>
          <w:szCs w:val="28"/>
        </w:rPr>
      </w:pPr>
    </w:p>
    <w:p w14:paraId="091F8D40" w14:textId="77777777" w:rsidR="00F424AC" w:rsidRPr="00EB071B" w:rsidRDefault="00F424AC" w:rsidP="00F424AC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B071B">
        <w:rPr>
          <w:rFonts w:ascii="Times New Roman" w:hAnsi="Times New Roman"/>
          <w:b/>
          <w:bCs/>
          <w:sz w:val="28"/>
          <w:szCs w:val="28"/>
        </w:rPr>
        <w:t>Strategia de comunicare pentru anul 2022</w:t>
      </w:r>
    </w:p>
    <w:p w14:paraId="1A7A7C63" w14:textId="77777777" w:rsidR="00EB071B" w:rsidRPr="00EB071B" w:rsidRDefault="00EB071B" w:rsidP="001D4A36">
      <w:pPr>
        <w:spacing w:after="240" w:line="360" w:lineRule="auto"/>
        <w:jc w:val="both"/>
        <w:rPr>
          <w:rFonts w:ascii="Times New Roman" w:hAnsi="Times New Roman"/>
        </w:rPr>
      </w:pPr>
    </w:p>
    <w:p w14:paraId="680294EA" w14:textId="77777777" w:rsidR="00662647" w:rsidRPr="00662647" w:rsidRDefault="00662647" w:rsidP="00662647">
      <w:pPr>
        <w:spacing w:after="240" w:line="360" w:lineRule="auto"/>
        <w:jc w:val="both"/>
        <w:rPr>
          <w:rFonts w:ascii="Times New Roman" w:hAnsi="Times New Roman"/>
        </w:rPr>
      </w:pPr>
      <w:r w:rsidRPr="00662647">
        <w:rPr>
          <w:rFonts w:ascii="Times New Roman" w:hAnsi="Times New Roman"/>
          <w:b/>
          <w:bCs/>
        </w:rPr>
        <w:t>Tema Congresului Avocaților din 2022, care se constituie și ca temă principală a anului 2022</w:t>
      </w:r>
      <w:r w:rsidRPr="00662647">
        <w:rPr>
          <w:rFonts w:ascii="Times New Roman" w:hAnsi="Times New Roman"/>
        </w:rPr>
        <w:t>:  ,,</w:t>
      </w:r>
      <w:r w:rsidRPr="00662647">
        <w:rPr>
          <w:rFonts w:ascii="Times New Roman" w:hAnsi="Times New Roman"/>
          <w:b/>
          <w:bCs/>
          <w:i/>
          <w:iCs/>
        </w:rPr>
        <w:t>Avocatura azi. Tendințe și perspective</w:t>
      </w:r>
      <w:r w:rsidRPr="00662647">
        <w:rPr>
          <w:rFonts w:ascii="Times New Roman" w:hAnsi="Times New Roman"/>
        </w:rPr>
        <w:t>”, în care comunicarea se va centra pe avocat, pe tendințele și aspectele specifice care influențează identitatea profesională, organizarea și evoluția profesiei</w:t>
      </w:r>
      <w:r>
        <w:rPr>
          <w:rFonts w:ascii="Times New Roman" w:hAnsi="Times New Roman"/>
        </w:rPr>
        <w:t>.</w:t>
      </w:r>
    </w:p>
    <w:p w14:paraId="4617C2A1" w14:textId="77777777" w:rsidR="00F424AC" w:rsidRPr="00EB071B" w:rsidRDefault="00F424AC" w:rsidP="00F424AC">
      <w:pPr>
        <w:spacing w:after="240" w:line="360" w:lineRule="auto"/>
        <w:jc w:val="both"/>
        <w:rPr>
          <w:rFonts w:ascii="Times New Roman" w:hAnsi="Times New Roman"/>
        </w:rPr>
      </w:pPr>
      <w:r w:rsidRPr="00EB071B">
        <w:rPr>
          <w:rFonts w:ascii="Times New Roman" w:hAnsi="Times New Roman"/>
        </w:rPr>
        <w:t xml:space="preserve">Întrucât obiectivul principal al </w:t>
      </w:r>
      <w:r w:rsidR="005D207E">
        <w:rPr>
          <w:rFonts w:ascii="Times New Roman" w:hAnsi="Times New Roman"/>
        </w:rPr>
        <w:t>U.N.B.R.</w:t>
      </w:r>
      <w:r w:rsidRPr="00EB071B">
        <w:rPr>
          <w:rFonts w:ascii="Times New Roman" w:hAnsi="Times New Roman"/>
        </w:rPr>
        <w:t xml:space="preserve"> în 2022 este actualizarea reglementărilor cu privire la profesie, toate campaniile </w:t>
      </w:r>
      <w:r w:rsidR="005D207E">
        <w:rPr>
          <w:rFonts w:ascii="Times New Roman" w:hAnsi="Times New Roman"/>
        </w:rPr>
        <w:t>U.N.B.R.</w:t>
      </w:r>
      <w:r w:rsidRPr="00EB071B">
        <w:rPr>
          <w:rFonts w:ascii="Times New Roman" w:hAnsi="Times New Roman"/>
        </w:rPr>
        <w:t xml:space="preserve"> vor fi dezvoltate în jurul acestei teme principale, cu abordări specifice subtemelor de interes.  </w:t>
      </w:r>
    </w:p>
    <w:p w14:paraId="18926A5D" w14:textId="77777777" w:rsidR="00F424AC" w:rsidRPr="00EB071B" w:rsidRDefault="00F424AC" w:rsidP="00F424AC">
      <w:pPr>
        <w:spacing w:after="240" w:line="360" w:lineRule="auto"/>
        <w:jc w:val="both"/>
        <w:rPr>
          <w:rFonts w:ascii="Times New Roman" w:hAnsi="Times New Roman"/>
          <w:b/>
          <w:bCs/>
        </w:rPr>
      </w:pPr>
      <w:r w:rsidRPr="00EB071B">
        <w:rPr>
          <w:rFonts w:ascii="Times New Roman" w:hAnsi="Times New Roman"/>
          <w:b/>
          <w:bCs/>
        </w:rPr>
        <w:t xml:space="preserve">În acest scop, </w:t>
      </w:r>
      <w:r w:rsidR="005D207E">
        <w:rPr>
          <w:rFonts w:ascii="Times New Roman" w:hAnsi="Times New Roman"/>
          <w:b/>
          <w:bCs/>
        </w:rPr>
        <w:t>U.N.B.R.</w:t>
      </w:r>
      <w:r w:rsidRPr="00EB071B">
        <w:rPr>
          <w:rFonts w:ascii="Times New Roman" w:hAnsi="Times New Roman"/>
          <w:b/>
          <w:bCs/>
        </w:rPr>
        <w:t xml:space="preserve"> își propune următoarele</w:t>
      </w:r>
    </w:p>
    <w:p w14:paraId="44073D63" w14:textId="77777777" w:rsidR="00F424AC" w:rsidRPr="00EB071B" w:rsidRDefault="00F424AC" w:rsidP="00F424AC">
      <w:pPr>
        <w:pStyle w:val="ListParagraph"/>
        <w:numPr>
          <w:ilvl w:val="0"/>
          <w:numId w:val="10"/>
        </w:numPr>
        <w:spacing w:after="240" w:line="360" w:lineRule="auto"/>
        <w:jc w:val="both"/>
        <w:rPr>
          <w:sz w:val="24"/>
          <w:szCs w:val="24"/>
        </w:rPr>
      </w:pPr>
      <w:r w:rsidRPr="00EB071B">
        <w:rPr>
          <w:sz w:val="24"/>
          <w:szCs w:val="24"/>
        </w:rPr>
        <w:t>Să sprijine barourile în organizarea de întâlniri cu avocații pentru a discuta tendințe și provocări pe care aceștia le întâmpină în exercitarea profesiei de avocat, la nivelul întregii țări, pentru a avea o viziune  de ansamblu asupra tendințelor și problematicilor pe care le implică avocatura și a acționa în consecință.</w:t>
      </w:r>
    </w:p>
    <w:p w14:paraId="64CAE35E" w14:textId="77777777" w:rsidR="00F424AC" w:rsidRPr="00EB071B" w:rsidRDefault="00F424AC" w:rsidP="00F424AC">
      <w:pPr>
        <w:spacing w:after="240" w:line="360" w:lineRule="auto"/>
        <w:jc w:val="both"/>
        <w:rPr>
          <w:rFonts w:ascii="Times New Roman" w:hAnsi="Times New Roman"/>
        </w:rPr>
      </w:pPr>
      <w:r w:rsidRPr="00EB071B">
        <w:rPr>
          <w:rFonts w:ascii="Times New Roman" w:hAnsi="Times New Roman"/>
        </w:rPr>
        <w:t xml:space="preserve">Fără a face o enumerare exhaustivă, întrucât fiecare barou este liber să-și aleagă tematica în funcție de circumstanțele locale, </w:t>
      </w:r>
      <w:r w:rsidR="005D207E">
        <w:rPr>
          <w:rFonts w:ascii="Times New Roman" w:hAnsi="Times New Roman"/>
        </w:rPr>
        <w:t>U.N.B.R.</w:t>
      </w:r>
      <w:r w:rsidRPr="00EB071B">
        <w:rPr>
          <w:rFonts w:ascii="Times New Roman" w:hAnsi="Times New Roman"/>
        </w:rPr>
        <w:t xml:space="preserve"> propune următoarele teme de dezbatere care vor face obiectul comunicării în anul 2022:</w:t>
      </w:r>
    </w:p>
    <w:p w14:paraId="56817646" w14:textId="77777777" w:rsidR="00F424AC" w:rsidRPr="00EB071B" w:rsidRDefault="00F424AC" w:rsidP="00F424AC">
      <w:pPr>
        <w:spacing w:after="240" w:line="360" w:lineRule="auto"/>
        <w:jc w:val="both"/>
        <w:rPr>
          <w:rFonts w:ascii="Times New Roman" w:hAnsi="Times New Roman"/>
          <w:b/>
          <w:bCs/>
        </w:rPr>
      </w:pPr>
      <w:r w:rsidRPr="00EB071B">
        <w:rPr>
          <w:rFonts w:ascii="Times New Roman" w:hAnsi="Times New Roman"/>
          <w:b/>
          <w:bCs/>
        </w:rPr>
        <w:t xml:space="preserve">Teme generale de dezbatere (propuneri): </w:t>
      </w:r>
    </w:p>
    <w:p w14:paraId="3FA32F33" w14:textId="77777777" w:rsidR="00F424AC" w:rsidRPr="00EB071B" w:rsidRDefault="00F424AC" w:rsidP="001253FD">
      <w:pPr>
        <w:pStyle w:val="ListParagraph"/>
        <w:numPr>
          <w:ilvl w:val="0"/>
          <w:numId w:val="13"/>
        </w:numPr>
        <w:tabs>
          <w:tab w:val="left" w:pos="993"/>
        </w:tabs>
        <w:spacing w:after="240" w:line="360" w:lineRule="auto"/>
        <w:ind w:left="284" w:firstLine="436"/>
        <w:jc w:val="both"/>
        <w:rPr>
          <w:sz w:val="24"/>
          <w:szCs w:val="24"/>
        </w:rPr>
      </w:pPr>
      <w:r w:rsidRPr="00EB071B">
        <w:rPr>
          <w:sz w:val="24"/>
          <w:szCs w:val="24"/>
        </w:rPr>
        <w:t>Interacțiunea și comunicarea profesiilor juridice. Aspecte legale, etice și deontologice</w:t>
      </w:r>
      <w:r w:rsidRPr="00EB071B">
        <w:rPr>
          <w:b/>
          <w:sz w:val="24"/>
          <w:szCs w:val="24"/>
        </w:rPr>
        <w:t xml:space="preserve"> </w:t>
      </w:r>
    </w:p>
    <w:p w14:paraId="72569436" w14:textId="77777777" w:rsidR="00F424AC" w:rsidRPr="00EB071B" w:rsidRDefault="00F424AC" w:rsidP="001253FD">
      <w:pPr>
        <w:pStyle w:val="ListParagraph"/>
        <w:numPr>
          <w:ilvl w:val="0"/>
          <w:numId w:val="13"/>
        </w:numPr>
        <w:tabs>
          <w:tab w:val="left" w:pos="993"/>
        </w:tabs>
        <w:spacing w:after="240" w:line="360" w:lineRule="auto"/>
        <w:ind w:left="284" w:firstLine="436"/>
        <w:jc w:val="both"/>
        <w:rPr>
          <w:bCs/>
          <w:sz w:val="24"/>
          <w:szCs w:val="24"/>
        </w:rPr>
      </w:pPr>
      <w:r w:rsidRPr="00EB071B">
        <w:rPr>
          <w:bCs/>
          <w:sz w:val="24"/>
          <w:szCs w:val="24"/>
        </w:rPr>
        <w:t xml:space="preserve">Noile reglementări privind publicitatea avocaților. Necesitatea abordării unor instrumente de promovare etică a avocaților pentru a face față mediului concurențial </w:t>
      </w:r>
    </w:p>
    <w:p w14:paraId="7E80CFE7" w14:textId="77777777" w:rsidR="00F424AC" w:rsidRPr="00EB071B" w:rsidRDefault="00F424AC" w:rsidP="001253FD">
      <w:pPr>
        <w:pStyle w:val="ListParagraph"/>
        <w:numPr>
          <w:ilvl w:val="0"/>
          <w:numId w:val="13"/>
        </w:numPr>
        <w:tabs>
          <w:tab w:val="left" w:pos="993"/>
        </w:tabs>
        <w:spacing w:after="240" w:line="360" w:lineRule="auto"/>
        <w:ind w:left="284" w:firstLine="436"/>
        <w:jc w:val="both"/>
        <w:rPr>
          <w:bCs/>
          <w:sz w:val="24"/>
          <w:szCs w:val="24"/>
        </w:rPr>
      </w:pPr>
      <w:r w:rsidRPr="00EB071B">
        <w:rPr>
          <w:bCs/>
          <w:sz w:val="24"/>
          <w:szCs w:val="24"/>
        </w:rPr>
        <w:t>Participarea avocaților la platformele de intermediere avocat client. Beneficii și riscuri</w:t>
      </w:r>
    </w:p>
    <w:p w14:paraId="2EB4CD86" w14:textId="77777777" w:rsidR="00F424AC" w:rsidRPr="00EB071B" w:rsidRDefault="00F424AC" w:rsidP="001253FD">
      <w:pPr>
        <w:pStyle w:val="ListParagraph"/>
        <w:numPr>
          <w:ilvl w:val="0"/>
          <w:numId w:val="13"/>
        </w:numPr>
        <w:tabs>
          <w:tab w:val="left" w:pos="993"/>
        </w:tabs>
        <w:spacing w:after="240" w:line="360" w:lineRule="auto"/>
        <w:ind w:left="284" w:firstLine="436"/>
        <w:jc w:val="both"/>
        <w:rPr>
          <w:sz w:val="24"/>
          <w:szCs w:val="24"/>
        </w:rPr>
      </w:pPr>
      <w:r w:rsidRPr="00EB071B">
        <w:rPr>
          <w:sz w:val="24"/>
          <w:szCs w:val="24"/>
        </w:rPr>
        <w:t xml:space="preserve">Profesia de avocat în era comunicării online. Mecanisme și proceduri specifice mijloacelor de comunicare moderne </w:t>
      </w:r>
    </w:p>
    <w:p w14:paraId="693D6A37" w14:textId="77777777" w:rsidR="00F424AC" w:rsidRPr="00EB071B" w:rsidRDefault="00F424AC" w:rsidP="001253FD">
      <w:pPr>
        <w:pStyle w:val="ListParagraph"/>
        <w:numPr>
          <w:ilvl w:val="0"/>
          <w:numId w:val="13"/>
        </w:numPr>
        <w:tabs>
          <w:tab w:val="left" w:pos="993"/>
        </w:tabs>
        <w:spacing w:after="240" w:line="360" w:lineRule="auto"/>
        <w:ind w:left="284" w:firstLine="436"/>
        <w:jc w:val="both"/>
        <w:rPr>
          <w:sz w:val="24"/>
          <w:szCs w:val="24"/>
        </w:rPr>
      </w:pPr>
      <w:r w:rsidRPr="00EB071B">
        <w:rPr>
          <w:sz w:val="24"/>
          <w:szCs w:val="24"/>
        </w:rPr>
        <w:t>Provocări la adresa principiului autoreglementării profesiei de avocat</w:t>
      </w:r>
    </w:p>
    <w:p w14:paraId="7420A654" w14:textId="77777777" w:rsidR="00F424AC" w:rsidRPr="00EB071B" w:rsidRDefault="00F424AC" w:rsidP="001253FD">
      <w:pPr>
        <w:pStyle w:val="ListParagraph"/>
        <w:numPr>
          <w:ilvl w:val="0"/>
          <w:numId w:val="13"/>
        </w:numPr>
        <w:tabs>
          <w:tab w:val="left" w:pos="993"/>
        </w:tabs>
        <w:spacing w:after="240" w:line="360" w:lineRule="auto"/>
        <w:ind w:left="284" w:firstLine="436"/>
        <w:jc w:val="both"/>
        <w:rPr>
          <w:sz w:val="24"/>
          <w:szCs w:val="24"/>
        </w:rPr>
      </w:pPr>
      <w:r w:rsidRPr="00EB071B">
        <w:rPr>
          <w:sz w:val="24"/>
          <w:szCs w:val="24"/>
        </w:rPr>
        <w:t xml:space="preserve">Responsabilitatea socială ca formă de comunicare. Implicarea avocaților în educația juridică în școli în contextul noilor reglementări </w:t>
      </w:r>
    </w:p>
    <w:p w14:paraId="2399E95E" w14:textId="77777777" w:rsidR="00F424AC" w:rsidRPr="00EB071B" w:rsidRDefault="00F424AC" w:rsidP="001253FD">
      <w:pPr>
        <w:pStyle w:val="ListParagraph"/>
        <w:numPr>
          <w:ilvl w:val="0"/>
          <w:numId w:val="13"/>
        </w:numPr>
        <w:tabs>
          <w:tab w:val="left" w:pos="993"/>
        </w:tabs>
        <w:spacing w:after="240" w:line="360" w:lineRule="auto"/>
        <w:ind w:left="284" w:firstLine="436"/>
        <w:jc w:val="both"/>
        <w:rPr>
          <w:sz w:val="24"/>
          <w:szCs w:val="24"/>
        </w:rPr>
      </w:pPr>
      <w:r w:rsidRPr="00EB071B">
        <w:rPr>
          <w:sz w:val="24"/>
          <w:szCs w:val="24"/>
        </w:rPr>
        <w:t>Profesia de avocat în era comunicării online. Mecanisme și proceduri specifice mijloacelor de comunicare moderne.</w:t>
      </w:r>
    </w:p>
    <w:p w14:paraId="629A7092" w14:textId="77777777" w:rsidR="00F424AC" w:rsidRPr="00EB071B" w:rsidRDefault="00F424AC" w:rsidP="001253FD">
      <w:pPr>
        <w:pStyle w:val="ListParagraph"/>
        <w:numPr>
          <w:ilvl w:val="0"/>
          <w:numId w:val="13"/>
        </w:numPr>
        <w:tabs>
          <w:tab w:val="left" w:pos="993"/>
        </w:tabs>
        <w:spacing w:after="240" w:line="360" w:lineRule="auto"/>
        <w:ind w:left="284" w:firstLine="436"/>
        <w:jc w:val="both"/>
        <w:rPr>
          <w:sz w:val="24"/>
          <w:szCs w:val="24"/>
        </w:rPr>
      </w:pPr>
      <w:r w:rsidRPr="00EB071B">
        <w:rPr>
          <w:sz w:val="24"/>
          <w:szCs w:val="24"/>
        </w:rPr>
        <w:t>Provocări privind răspunderea penală a avocatului. Condiții și efecte</w:t>
      </w:r>
    </w:p>
    <w:p w14:paraId="59DD7E6F" w14:textId="77777777" w:rsidR="00F424AC" w:rsidRPr="00EB071B" w:rsidRDefault="00F424AC" w:rsidP="001253FD">
      <w:pPr>
        <w:pStyle w:val="ListParagraph"/>
        <w:numPr>
          <w:ilvl w:val="0"/>
          <w:numId w:val="13"/>
        </w:numPr>
        <w:tabs>
          <w:tab w:val="left" w:pos="993"/>
        </w:tabs>
        <w:spacing w:after="240" w:line="360" w:lineRule="auto"/>
        <w:ind w:left="284" w:firstLine="436"/>
        <w:jc w:val="both"/>
        <w:rPr>
          <w:sz w:val="24"/>
          <w:szCs w:val="24"/>
        </w:rPr>
      </w:pPr>
      <w:r w:rsidRPr="00EB071B">
        <w:rPr>
          <w:sz w:val="24"/>
          <w:szCs w:val="24"/>
        </w:rPr>
        <w:lastRenderedPageBreak/>
        <w:t>Contabilitatea specifică avocaților și fiscalitatea. Reglementări, provocări, soluții</w:t>
      </w:r>
    </w:p>
    <w:p w14:paraId="214849A9" w14:textId="77777777" w:rsidR="00F424AC" w:rsidRPr="00EB071B" w:rsidRDefault="00F424AC" w:rsidP="001253FD">
      <w:pPr>
        <w:pStyle w:val="ListParagraph"/>
        <w:numPr>
          <w:ilvl w:val="0"/>
          <w:numId w:val="13"/>
        </w:numPr>
        <w:tabs>
          <w:tab w:val="left" w:pos="993"/>
        </w:tabs>
        <w:spacing w:after="240" w:line="360" w:lineRule="auto"/>
        <w:ind w:left="284" w:firstLine="436"/>
        <w:jc w:val="both"/>
        <w:rPr>
          <w:sz w:val="24"/>
          <w:szCs w:val="24"/>
        </w:rPr>
      </w:pPr>
      <w:r w:rsidRPr="00EB071B">
        <w:rPr>
          <w:sz w:val="24"/>
          <w:szCs w:val="24"/>
        </w:rPr>
        <w:t xml:space="preserve">Nedemnitatea în profesia de avocat. Cadrul legal actual și propuneri de lege </w:t>
      </w:r>
      <w:proofErr w:type="spellStart"/>
      <w:r w:rsidRPr="00EB071B">
        <w:rPr>
          <w:sz w:val="24"/>
          <w:szCs w:val="24"/>
        </w:rPr>
        <w:t>ferenda</w:t>
      </w:r>
      <w:proofErr w:type="spellEnd"/>
    </w:p>
    <w:p w14:paraId="6D3E89FF" w14:textId="77777777" w:rsidR="00F424AC" w:rsidRPr="00EB071B" w:rsidRDefault="00F424AC" w:rsidP="001253FD">
      <w:pPr>
        <w:pStyle w:val="ListParagraph"/>
        <w:numPr>
          <w:ilvl w:val="0"/>
          <w:numId w:val="13"/>
        </w:numPr>
        <w:tabs>
          <w:tab w:val="left" w:pos="993"/>
        </w:tabs>
        <w:spacing w:after="240" w:line="360" w:lineRule="auto"/>
        <w:ind w:left="284" w:firstLine="436"/>
        <w:jc w:val="both"/>
        <w:rPr>
          <w:sz w:val="24"/>
          <w:szCs w:val="24"/>
        </w:rPr>
      </w:pPr>
      <w:r w:rsidRPr="00EB071B">
        <w:rPr>
          <w:sz w:val="24"/>
          <w:szCs w:val="24"/>
        </w:rPr>
        <w:t>Corespondența dintre avocat și client. Mecanisme de protecție</w:t>
      </w:r>
    </w:p>
    <w:p w14:paraId="1340DEEB" w14:textId="77777777" w:rsidR="00F424AC" w:rsidRPr="00EB071B" w:rsidRDefault="00F424AC" w:rsidP="001253FD">
      <w:pPr>
        <w:pStyle w:val="ListParagraph"/>
        <w:numPr>
          <w:ilvl w:val="0"/>
          <w:numId w:val="13"/>
        </w:numPr>
        <w:tabs>
          <w:tab w:val="left" w:pos="993"/>
        </w:tabs>
        <w:spacing w:after="240" w:line="360" w:lineRule="auto"/>
        <w:ind w:left="284" w:firstLine="436"/>
        <w:jc w:val="both"/>
        <w:rPr>
          <w:sz w:val="24"/>
          <w:szCs w:val="24"/>
        </w:rPr>
      </w:pPr>
      <w:proofErr w:type="spellStart"/>
      <w:r w:rsidRPr="00EB071B">
        <w:rPr>
          <w:sz w:val="24"/>
          <w:szCs w:val="24"/>
        </w:rPr>
        <w:t>Interprofesionalitatea</w:t>
      </w:r>
      <w:proofErr w:type="spellEnd"/>
      <w:r w:rsidRPr="00EB071B">
        <w:rPr>
          <w:sz w:val="24"/>
          <w:szCs w:val="24"/>
        </w:rPr>
        <w:t xml:space="preserve"> și cererea de servicii integrate. Aspecte legale și deontologice </w:t>
      </w:r>
    </w:p>
    <w:p w14:paraId="3AB4AAC6" w14:textId="77777777" w:rsidR="00F424AC" w:rsidRPr="00EB071B" w:rsidRDefault="00F424AC" w:rsidP="001253FD">
      <w:pPr>
        <w:pStyle w:val="ListParagraph"/>
        <w:numPr>
          <w:ilvl w:val="0"/>
          <w:numId w:val="13"/>
        </w:numPr>
        <w:tabs>
          <w:tab w:val="left" w:pos="993"/>
        </w:tabs>
        <w:spacing w:after="240" w:line="360" w:lineRule="auto"/>
        <w:ind w:left="284" w:firstLine="436"/>
        <w:jc w:val="both"/>
        <w:rPr>
          <w:sz w:val="24"/>
          <w:szCs w:val="24"/>
        </w:rPr>
      </w:pPr>
      <w:r w:rsidRPr="00EB071B">
        <w:rPr>
          <w:sz w:val="24"/>
          <w:szCs w:val="24"/>
        </w:rPr>
        <w:t>Definirea domeniului de practică rezervat avocaților și a consultanței juridice în contextul concurenței cu alte profesii și al serviciilor integrate</w:t>
      </w:r>
    </w:p>
    <w:p w14:paraId="400839C2" w14:textId="77777777" w:rsidR="00F424AC" w:rsidRPr="00EB071B" w:rsidRDefault="00F424AC" w:rsidP="001253FD">
      <w:pPr>
        <w:pStyle w:val="ListParagraph"/>
        <w:numPr>
          <w:ilvl w:val="0"/>
          <w:numId w:val="13"/>
        </w:numPr>
        <w:tabs>
          <w:tab w:val="left" w:pos="993"/>
        </w:tabs>
        <w:spacing w:after="240" w:line="360" w:lineRule="auto"/>
        <w:ind w:left="284" w:firstLine="436"/>
        <w:jc w:val="both"/>
        <w:rPr>
          <w:sz w:val="24"/>
          <w:szCs w:val="24"/>
        </w:rPr>
      </w:pPr>
      <w:r w:rsidRPr="00EB071B">
        <w:rPr>
          <w:sz w:val="24"/>
          <w:szCs w:val="24"/>
        </w:rPr>
        <w:t>Patrimoniul de afectațiune profesională. Transformarea formei de organizare și exercitare a profesiei de avocat</w:t>
      </w:r>
    </w:p>
    <w:p w14:paraId="169C9A6D" w14:textId="77777777" w:rsidR="00F424AC" w:rsidRPr="00EB071B" w:rsidRDefault="00F424AC" w:rsidP="001253FD">
      <w:pPr>
        <w:pStyle w:val="ListParagraph"/>
        <w:numPr>
          <w:ilvl w:val="0"/>
          <w:numId w:val="13"/>
        </w:numPr>
        <w:tabs>
          <w:tab w:val="left" w:pos="993"/>
        </w:tabs>
        <w:spacing w:after="240" w:line="360" w:lineRule="auto"/>
        <w:ind w:left="284" w:firstLine="436"/>
        <w:jc w:val="both"/>
        <w:rPr>
          <w:sz w:val="24"/>
          <w:szCs w:val="24"/>
        </w:rPr>
      </w:pPr>
      <w:r w:rsidRPr="00EB071B">
        <w:rPr>
          <w:sz w:val="24"/>
          <w:szCs w:val="24"/>
        </w:rPr>
        <w:t>Admiterea în profesia de avocat. Posibile soluții pentru înscrierea avocaților stagiari în mod proporțional în toate barourile din țară.</w:t>
      </w:r>
    </w:p>
    <w:p w14:paraId="10DCFE00" w14:textId="77777777" w:rsidR="00F424AC" w:rsidRPr="00EB071B" w:rsidRDefault="00F424AC" w:rsidP="001253FD">
      <w:pPr>
        <w:pStyle w:val="ListParagraph"/>
        <w:numPr>
          <w:ilvl w:val="0"/>
          <w:numId w:val="13"/>
        </w:numPr>
        <w:tabs>
          <w:tab w:val="left" w:pos="993"/>
        </w:tabs>
        <w:spacing w:after="240" w:line="360" w:lineRule="auto"/>
        <w:ind w:left="284" w:firstLine="436"/>
        <w:jc w:val="both"/>
        <w:rPr>
          <w:sz w:val="24"/>
          <w:szCs w:val="24"/>
        </w:rPr>
      </w:pPr>
      <w:r w:rsidRPr="00EB071B">
        <w:rPr>
          <w:sz w:val="24"/>
          <w:szCs w:val="24"/>
        </w:rPr>
        <w:t>Accesul la profesia de avocat. Provocările legii privind testul de proporționalitate și cerințele comisiei europene</w:t>
      </w:r>
    </w:p>
    <w:p w14:paraId="0908F489" w14:textId="77777777" w:rsidR="00F424AC" w:rsidRPr="00EB071B" w:rsidRDefault="00F424AC" w:rsidP="001253FD">
      <w:pPr>
        <w:pStyle w:val="ListParagraph"/>
        <w:numPr>
          <w:ilvl w:val="0"/>
          <w:numId w:val="13"/>
        </w:numPr>
        <w:tabs>
          <w:tab w:val="left" w:pos="993"/>
        </w:tabs>
        <w:spacing w:after="240" w:line="360" w:lineRule="auto"/>
        <w:ind w:left="284" w:firstLine="436"/>
        <w:jc w:val="both"/>
        <w:rPr>
          <w:sz w:val="24"/>
          <w:szCs w:val="24"/>
        </w:rPr>
      </w:pPr>
      <w:r w:rsidRPr="00EB071B">
        <w:rPr>
          <w:sz w:val="24"/>
          <w:szCs w:val="24"/>
        </w:rPr>
        <w:t>Digitalizarea și informatizarea profesiei. Comunicarea la distanță avocat client și cu sistemul judiciar</w:t>
      </w:r>
    </w:p>
    <w:p w14:paraId="3799D787" w14:textId="77777777" w:rsidR="00F424AC" w:rsidRPr="00EB071B" w:rsidRDefault="00F424AC" w:rsidP="001253FD">
      <w:pPr>
        <w:pStyle w:val="ListParagraph"/>
        <w:numPr>
          <w:ilvl w:val="0"/>
          <w:numId w:val="13"/>
        </w:numPr>
        <w:tabs>
          <w:tab w:val="left" w:pos="993"/>
        </w:tabs>
        <w:spacing w:after="240" w:line="360" w:lineRule="auto"/>
        <w:ind w:left="284" w:firstLine="436"/>
        <w:jc w:val="both"/>
        <w:rPr>
          <w:sz w:val="24"/>
          <w:szCs w:val="24"/>
        </w:rPr>
      </w:pPr>
      <w:r w:rsidRPr="00EB071B">
        <w:rPr>
          <w:sz w:val="24"/>
          <w:szCs w:val="24"/>
        </w:rPr>
        <w:t>Organizarea internă a profesiei. Perspective privind funcționarea instituțiilor profesiei</w:t>
      </w:r>
    </w:p>
    <w:p w14:paraId="23EE32E2" w14:textId="77777777" w:rsidR="00F424AC" w:rsidRPr="00EB071B" w:rsidRDefault="00F424AC" w:rsidP="001253FD">
      <w:pPr>
        <w:pStyle w:val="ListParagraph"/>
        <w:numPr>
          <w:ilvl w:val="0"/>
          <w:numId w:val="13"/>
        </w:numPr>
        <w:tabs>
          <w:tab w:val="left" w:pos="993"/>
        </w:tabs>
        <w:spacing w:after="240" w:line="360" w:lineRule="auto"/>
        <w:ind w:left="284" w:firstLine="436"/>
        <w:jc w:val="both"/>
        <w:rPr>
          <w:sz w:val="24"/>
          <w:szCs w:val="24"/>
        </w:rPr>
      </w:pPr>
      <w:r w:rsidRPr="00EB071B">
        <w:rPr>
          <w:sz w:val="24"/>
          <w:szCs w:val="24"/>
        </w:rPr>
        <w:t>Mentoratul în avocatură și problematica stagiarilor</w:t>
      </w:r>
    </w:p>
    <w:p w14:paraId="0422BD9B" w14:textId="77777777" w:rsidR="00F424AC" w:rsidRPr="00EB071B" w:rsidRDefault="00F424AC" w:rsidP="001253FD">
      <w:pPr>
        <w:pStyle w:val="ListParagraph"/>
        <w:numPr>
          <w:ilvl w:val="0"/>
          <w:numId w:val="13"/>
        </w:numPr>
        <w:tabs>
          <w:tab w:val="left" w:pos="993"/>
        </w:tabs>
        <w:spacing w:after="240" w:line="360" w:lineRule="auto"/>
        <w:ind w:left="284" w:firstLine="436"/>
        <w:jc w:val="both"/>
        <w:rPr>
          <w:sz w:val="24"/>
          <w:szCs w:val="24"/>
        </w:rPr>
      </w:pPr>
      <w:r w:rsidRPr="00EB071B">
        <w:rPr>
          <w:sz w:val="24"/>
          <w:szCs w:val="24"/>
        </w:rPr>
        <w:t xml:space="preserve">Abordări noi privind pregătirea profesională inițială și continuă. Actualizări ale programei în funcție de evoluția pieței avocaturii </w:t>
      </w:r>
    </w:p>
    <w:p w14:paraId="43D08AF2" w14:textId="77777777" w:rsidR="00F424AC" w:rsidRPr="00EB071B" w:rsidRDefault="00F424AC" w:rsidP="001253FD">
      <w:pPr>
        <w:pStyle w:val="ListParagraph"/>
        <w:numPr>
          <w:ilvl w:val="0"/>
          <w:numId w:val="13"/>
        </w:numPr>
        <w:tabs>
          <w:tab w:val="left" w:pos="993"/>
        </w:tabs>
        <w:spacing w:after="240" w:line="360" w:lineRule="auto"/>
        <w:ind w:left="284" w:firstLine="436"/>
        <w:jc w:val="both"/>
        <w:rPr>
          <w:sz w:val="24"/>
          <w:szCs w:val="24"/>
        </w:rPr>
      </w:pPr>
      <w:r w:rsidRPr="00EB071B">
        <w:rPr>
          <w:sz w:val="24"/>
          <w:szCs w:val="24"/>
        </w:rPr>
        <w:t>Piața avocaturii. Tendințe privind domeniile preponderente de practică ale avocaților înscriși în barou</w:t>
      </w:r>
    </w:p>
    <w:p w14:paraId="326F4320" w14:textId="77777777" w:rsidR="00F424AC" w:rsidRPr="001253FD" w:rsidRDefault="00F424AC" w:rsidP="001253FD">
      <w:pPr>
        <w:pStyle w:val="ListParagraph"/>
        <w:numPr>
          <w:ilvl w:val="0"/>
          <w:numId w:val="13"/>
        </w:numPr>
        <w:tabs>
          <w:tab w:val="left" w:pos="993"/>
        </w:tabs>
        <w:spacing w:after="240" w:line="360" w:lineRule="auto"/>
        <w:ind w:left="284" w:firstLine="436"/>
        <w:jc w:val="both"/>
        <w:rPr>
          <w:sz w:val="24"/>
          <w:szCs w:val="24"/>
        </w:rPr>
      </w:pPr>
      <w:r w:rsidRPr="001253FD">
        <w:rPr>
          <w:sz w:val="24"/>
          <w:szCs w:val="24"/>
        </w:rPr>
        <w:t>Domeniile predilecte de dezvoltare pe piața serviciilor avocațiale în plan local</w:t>
      </w:r>
    </w:p>
    <w:p w14:paraId="716EFAF6" w14:textId="77777777" w:rsidR="00F424AC" w:rsidRPr="001253FD" w:rsidRDefault="00F424AC" w:rsidP="001253FD">
      <w:pPr>
        <w:pStyle w:val="ListParagraph"/>
        <w:numPr>
          <w:ilvl w:val="0"/>
          <w:numId w:val="13"/>
        </w:numPr>
        <w:tabs>
          <w:tab w:val="left" w:pos="993"/>
        </w:tabs>
        <w:spacing w:after="240" w:line="360" w:lineRule="auto"/>
        <w:ind w:left="284" w:firstLine="436"/>
        <w:jc w:val="both"/>
        <w:rPr>
          <w:sz w:val="24"/>
          <w:szCs w:val="24"/>
        </w:rPr>
      </w:pPr>
      <w:r w:rsidRPr="001253FD">
        <w:rPr>
          <w:sz w:val="24"/>
          <w:szCs w:val="24"/>
        </w:rPr>
        <w:t>Obligațiile de raportare în contextul adoptării de către forurile europene a noilor reglementări privind prevenirea și combaterea spălării banilor</w:t>
      </w:r>
    </w:p>
    <w:p w14:paraId="499EB57D" w14:textId="77777777" w:rsidR="00F424AC" w:rsidRPr="001253FD" w:rsidRDefault="00F424AC" w:rsidP="00F424AC">
      <w:pPr>
        <w:pStyle w:val="ListParagraph"/>
        <w:numPr>
          <w:ilvl w:val="0"/>
          <w:numId w:val="13"/>
        </w:numPr>
        <w:tabs>
          <w:tab w:val="left" w:pos="993"/>
        </w:tabs>
        <w:spacing w:after="240" w:line="360" w:lineRule="auto"/>
        <w:ind w:left="284" w:firstLine="436"/>
        <w:jc w:val="both"/>
        <w:rPr>
          <w:sz w:val="24"/>
          <w:szCs w:val="24"/>
        </w:rPr>
      </w:pPr>
      <w:r w:rsidRPr="001253FD">
        <w:rPr>
          <w:sz w:val="24"/>
          <w:szCs w:val="24"/>
        </w:rPr>
        <w:t xml:space="preserve">Altele, în funcție de problematica barourilor (Aceste propuneri pot fi oricând completate cu alte propuneri din partea avocaților, pe care îi încurajăm să ne contacteze la adresa </w:t>
      </w:r>
      <w:hyperlink r:id="rId8" w:history="1">
        <w:r w:rsidRPr="001253FD">
          <w:rPr>
            <w:rStyle w:val="Hyperlink"/>
            <w:sz w:val="24"/>
            <w:szCs w:val="24"/>
          </w:rPr>
          <w:t>comunicare@</w:t>
        </w:r>
        <w:r w:rsidR="005D207E" w:rsidRPr="001253FD">
          <w:rPr>
            <w:rStyle w:val="Hyperlink"/>
            <w:sz w:val="24"/>
            <w:szCs w:val="24"/>
          </w:rPr>
          <w:t>U.N.B.R.</w:t>
        </w:r>
        <w:r w:rsidRPr="001253FD">
          <w:rPr>
            <w:rStyle w:val="Hyperlink"/>
            <w:sz w:val="24"/>
            <w:szCs w:val="24"/>
          </w:rPr>
          <w:t>.ro</w:t>
        </w:r>
      </w:hyperlink>
      <w:r w:rsidRPr="001253FD">
        <w:rPr>
          <w:sz w:val="24"/>
          <w:szCs w:val="24"/>
        </w:rPr>
        <w:t xml:space="preserve"> )</w:t>
      </w:r>
    </w:p>
    <w:p w14:paraId="68A55BA4" w14:textId="77777777" w:rsidR="00F424AC" w:rsidRPr="00EB071B" w:rsidRDefault="00F424AC" w:rsidP="00F424AC">
      <w:pPr>
        <w:pStyle w:val="ListParagraph"/>
        <w:spacing w:after="240" w:line="360" w:lineRule="auto"/>
        <w:jc w:val="both"/>
        <w:rPr>
          <w:sz w:val="24"/>
          <w:szCs w:val="24"/>
        </w:rPr>
      </w:pPr>
    </w:p>
    <w:p w14:paraId="2AB99D9D" w14:textId="77777777" w:rsidR="00F424AC" w:rsidRPr="00EB071B" w:rsidRDefault="00F424AC" w:rsidP="00F424AC">
      <w:pPr>
        <w:pStyle w:val="ListParagraph"/>
        <w:numPr>
          <w:ilvl w:val="0"/>
          <w:numId w:val="10"/>
        </w:numPr>
        <w:spacing w:after="240" w:line="360" w:lineRule="auto"/>
        <w:jc w:val="both"/>
        <w:rPr>
          <w:sz w:val="24"/>
          <w:szCs w:val="24"/>
        </w:rPr>
      </w:pPr>
      <w:r w:rsidRPr="00EB071B">
        <w:rPr>
          <w:sz w:val="24"/>
          <w:szCs w:val="24"/>
        </w:rPr>
        <w:t xml:space="preserve">Fiecare ședința a Consiliului </w:t>
      </w:r>
      <w:r w:rsidR="005D207E">
        <w:rPr>
          <w:sz w:val="24"/>
          <w:szCs w:val="24"/>
        </w:rPr>
        <w:t>U.N.B.R.</w:t>
      </w:r>
      <w:r w:rsidRPr="00EB071B">
        <w:rPr>
          <w:sz w:val="24"/>
          <w:szCs w:val="24"/>
        </w:rPr>
        <w:t xml:space="preserve"> va găzdui ateliere de dezbatere pe teme de interes pentru avocați. Valorificarea evenimentelor profesionale – Congresul Avocaților și Consiliile </w:t>
      </w:r>
      <w:r w:rsidR="005D207E">
        <w:rPr>
          <w:sz w:val="24"/>
          <w:szCs w:val="24"/>
        </w:rPr>
        <w:t>U.N.B.R.</w:t>
      </w:r>
      <w:r w:rsidRPr="00EB071B">
        <w:rPr>
          <w:sz w:val="24"/>
          <w:szCs w:val="24"/>
        </w:rPr>
        <w:t xml:space="preserve"> – este esențială deoarece se bucură de o audiență mai mare. În aceste contexte atenția avocaților, dar și a altor actori ai justiției și a presei este îndreptată spre </w:t>
      </w:r>
      <w:r w:rsidR="005D207E">
        <w:rPr>
          <w:sz w:val="24"/>
          <w:szCs w:val="24"/>
        </w:rPr>
        <w:t>U.N.B.R.</w:t>
      </w:r>
      <w:r w:rsidRPr="00EB071B">
        <w:rPr>
          <w:sz w:val="24"/>
          <w:szCs w:val="24"/>
        </w:rPr>
        <w:t>.</w:t>
      </w:r>
    </w:p>
    <w:p w14:paraId="2DE04D41" w14:textId="77777777" w:rsidR="00F424AC" w:rsidRPr="00EB071B" w:rsidRDefault="00F424AC" w:rsidP="00F424AC">
      <w:pPr>
        <w:pStyle w:val="ListParagraph"/>
        <w:jc w:val="both"/>
        <w:rPr>
          <w:sz w:val="24"/>
          <w:szCs w:val="24"/>
        </w:rPr>
      </w:pPr>
    </w:p>
    <w:p w14:paraId="11007974" w14:textId="77777777" w:rsidR="00F424AC" w:rsidRPr="00EB071B" w:rsidRDefault="00F424AC" w:rsidP="00F424AC">
      <w:pPr>
        <w:pStyle w:val="ListParagraph"/>
        <w:numPr>
          <w:ilvl w:val="0"/>
          <w:numId w:val="10"/>
        </w:numPr>
        <w:spacing w:after="240" w:line="360" w:lineRule="auto"/>
        <w:jc w:val="both"/>
        <w:rPr>
          <w:sz w:val="24"/>
          <w:szCs w:val="24"/>
        </w:rPr>
      </w:pPr>
      <w:r w:rsidRPr="00EB071B">
        <w:rPr>
          <w:sz w:val="24"/>
          <w:szCs w:val="24"/>
        </w:rPr>
        <w:t>Organizarea de conferințe pe teme actuale și punctuale de interes pentru profesie, în funcție de evoluția evenimentelor legislative și din societate, cu tangență asupra profesiei.</w:t>
      </w:r>
    </w:p>
    <w:p w14:paraId="5A400B84" w14:textId="77777777" w:rsidR="00F424AC" w:rsidRPr="00EB071B" w:rsidRDefault="00F424AC" w:rsidP="00F424AC">
      <w:pPr>
        <w:pStyle w:val="ListParagraph"/>
        <w:jc w:val="both"/>
        <w:rPr>
          <w:sz w:val="24"/>
          <w:szCs w:val="24"/>
        </w:rPr>
      </w:pPr>
    </w:p>
    <w:p w14:paraId="66069F84" w14:textId="77777777" w:rsidR="00F424AC" w:rsidRPr="00EB071B" w:rsidRDefault="00F424AC" w:rsidP="00F424AC">
      <w:pPr>
        <w:pStyle w:val="ListParagraph"/>
        <w:numPr>
          <w:ilvl w:val="0"/>
          <w:numId w:val="10"/>
        </w:numPr>
        <w:spacing w:after="240" w:line="360" w:lineRule="auto"/>
        <w:jc w:val="both"/>
        <w:rPr>
          <w:sz w:val="24"/>
          <w:szCs w:val="24"/>
        </w:rPr>
      </w:pPr>
      <w:r w:rsidRPr="00EB071B">
        <w:rPr>
          <w:sz w:val="24"/>
          <w:szCs w:val="24"/>
        </w:rPr>
        <w:t xml:space="preserve">Dezvoltarea campaniilor de responsabilitate socială ale </w:t>
      </w:r>
      <w:r w:rsidR="005D207E">
        <w:rPr>
          <w:sz w:val="24"/>
          <w:szCs w:val="24"/>
        </w:rPr>
        <w:t>U.N.B.R.</w:t>
      </w:r>
      <w:r w:rsidRPr="00EB071B">
        <w:rPr>
          <w:sz w:val="24"/>
          <w:szCs w:val="24"/>
        </w:rPr>
        <w:t>:</w:t>
      </w:r>
    </w:p>
    <w:p w14:paraId="27227F9E" w14:textId="77777777" w:rsidR="00F424AC" w:rsidRPr="00EB071B" w:rsidRDefault="00F424AC" w:rsidP="00F424AC">
      <w:pPr>
        <w:pStyle w:val="ListParagraph"/>
        <w:jc w:val="both"/>
        <w:rPr>
          <w:sz w:val="24"/>
          <w:szCs w:val="24"/>
        </w:rPr>
      </w:pPr>
    </w:p>
    <w:p w14:paraId="7186A31E" w14:textId="77777777" w:rsidR="00F424AC" w:rsidRPr="00EB071B" w:rsidRDefault="00F424AC" w:rsidP="00F424AC">
      <w:pPr>
        <w:pStyle w:val="ListParagraph"/>
        <w:spacing w:after="240" w:line="360" w:lineRule="auto"/>
        <w:jc w:val="both"/>
        <w:rPr>
          <w:sz w:val="24"/>
          <w:szCs w:val="24"/>
        </w:rPr>
      </w:pPr>
      <w:r w:rsidRPr="00EB071B">
        <w:rPr>
          <w:sz w:val="24"/>
          <w:szCs w:val="24"/>
        </w:rPr>
        <w:t>,,Fii avocat în școala ta!”</w:t>
      </w:r>
    </w:p>
    <w:p w14:paraId="552CA41E" w14:textId="77777777" w:rsidR="00F424AC" w:rsidRPr="00EB071B" w:rsidRDefault="00F424AC" w:rsidP="00F424AC">
      <w:pPr>
        <w:pStyle w:val="ListParagraph"/>
        <w:spacing w:after="240" w:line="360" w:lineRule="auto"/>
        <w:jc w:val="both"/>
        <w:rPr>
          <w:sz w:val="24"/>
          <w:szCs w:val="24"/>
        </w:rPr>
      </w:pPr>
      <w:r w:rsidRPr="00EB071B">
        <w:rPr>
          <w:sz w:val="24"/>
          <w:szCs w:val="24"/>
        </w:rPr>
        <w:t>,,Avocați pentru refugiați”</w:t>
      </w:r>
    </w:p>
    <w:p w14:paraId="2CA0F43B" w14:textId="77777777" w:rsidR="00F424AC" w:rsidRPr="00EB071B" w:rsidRDefault="00F424AC" w:rsidP="00F424AC">
      <w:pPr>
        <w:spacing w:after="120" w:line="360" w:lineRule="auto"/>
        <w:jc w:val="both"/>
        <w:rPr>
          <w:rFonts w:ascii="Times New Roman" w:hAnsi="Times New Roman"/>
        </w:rPr>
      </w:pPr>
      <w:r w:rsidRPr="00EB071B">
        <w:rPr>
          <w:rFonts w:ascii="Times New Roman" w:hAnsi="Times New Roman"/>
          <w:iCs/>
        </w:rPr>
        <w:t xml:space="preserve">Este esențial ca atât organizația, cât și avocații să fie și parteneri indispensabili ai comunității. </w:t>
      </w:r>
      <w:r w:rsidRPr="00EB071B">
        <w:rPr>
          <w:rFonts w:ascii="Times New Roman" w:hAnsi="Times New Roman"/>
        </w:rPr>
        <w:t xml:space="preserve">Responsabilitatea socială a </w:t>
      </w:r>
      <w:r w:rsidR="005D207E">
        <w:rPr>
          <w:rFonts w:ascii="Times New Roman" w:hAnsi="Times New Roman"/>
        </w:rPr>
        <w:t>U.N.B.R.</w:t>
      </w:r>
      <w:r w:rsidRPr="00EB071B">
        <w:rPr>
          <w:rFonts w:ascii="Times New Roman" w:hAnsi="Times New Roman"/>
        </w:rPr>
        <w:t xml:space="preserve">, a barourilor și a avocaților, solidaritatea socială, implicarea în viața comunității reprezintă cea mai sigură cale de a promova imaginea profesiei, de a obține  încrederea, respectul și recunoștința cetățenilor și de a-i  conștientiza pe aceștia cu privire la rolul avocatului în societate </w:t>
      </w:r>
      <w:r w:rsidRPr="00EB071B">
        <w:rPr>
          <w:rFonts w:ascii="Times New Roman" w:hAnsi="Times New Roman"/>
          <w:i/>
        </w:rPr>
        <w:t>(de apărător al cetățeanului, al drepturilor și libertăților fundamentale și nu de complice al infractorilor, cum aste perceput în ultima vreme, în spectacolul judiciar)</w:t>
      </w:r>
      <w:r w:rsidRPr="00EB071B">
        <w:rPr>
          <w:rFonts w:ascii="Times New Roman" w:hAnsi="Times New Roman"/>
        </w:rPr>
        <w:t>.</w:t>
      </w:r>
    </w:p>
    <w:p w14:paraId="35C65366" w14:textId="77777777" w:rsidR="00F424AC" w:rsidRPr="00EB071B" w:rsidRDefault="00F424AC" w:rsidP="00F424AC">
      <w:pPr>
        <w:pStyle w:val="ListParagraph"/>
        <w:spacing w:after="240" w:line="360" w:lineRule="auto"/>
        <w:jc w:val="both"/>
        <w:rPr>
          <w:rFonts w:cs="Calibri"/>
          <w:sz w:val="24"/>
          <w:szCs w:val="24"/>
        </w:rPr>
      </w:pPr>
    </w:p>
    <w:p w14:paraId="147A5356" w14:textId="77777777" w:rsidR="00F424AC" w:rsidRPr="00EB071B" w:rsidRDefault="00F424AC" w:rsidP="00F424AC">
      <w:pPr>
        <w:pStyle w:val="ListParagraph"/>
        <w:spacing w:after="240" w:line="360" w:lineRule="auto"/>
        <w:rPr>
          <w:rFonts w:cs="Calibri"/>
          <w:sz w:val="24"/>
          <w:szCs w:val="24"/>
        </w:rPr>
      </w:pPr>
    </w:p>
    <w:p w14:paraId="33DBD792" w14:textId="77777777" w:rsidR="00F424AC" w:rsidRPr="00EB071B" w:rsidRDefault="00F424AC" w:rsidP="00F424AC">
      <w:pPr>
        <w:spacing w:after="240" w:line="360" w:lineRule="auto"/>
        <w:rPr>
          <w:rFonts w:cs="Calibri"/>
        </w:rPr>
      </w:pPr>
    </w:p>
    <w:p w14:paraId="13E9C0E7" w14:textId="77777777" w:rsidR="00F424AC" w:rsidRPr="00EB071B" w:rsidRDefault="00F424AC" w:rsidP="00F424AC">
      <w:pPr>
        <w:spacing w:after="240" w:line="360" w:lineRule="auto"/>
        <w:rPr>
          <w:rFonts w:cs="Calibri"/>
        </w:rPr>
      </w:pPr>
    </w:p>
    <w:p w14:paraId="099A0EA0" w14:textId="77777777" w:rsidR="00F424AC" w:rsidRPr="00EB071B" w:rsidRDefault="00F424AC" w:rsidP="00F424AC">
      <w:pPr>
        <w:spacing w:after="240" w:line="360" w:lineRule="auto"/>
        <w:rPr>
          <w:rFonts w:cs="Calibri"/>
        </w:rPr>
      </w:pPr>
    </w:p>
    <w:p w14:paraId="762FC625" w14:textId="77777777" w:rsidR="00F424AC" w:rsidRPr="00EB071B" w:rsidRDefault="00F424AC" w:rsidP="00F424AC">
      <w:pPr>
        <w:spacing w:after="240" w:line="360" w:lineRule="auto"/>
        <w:rPr>
          <w:rFonts w:cs="Calibri"/>
        </w:rPr>
      </w:pPr>
    </w:p>
    <w:p w14:paraId="21D17839" w14:textId="77777777" w:rsidR="00F424AC" w:rsidRPr="00EB071B" w:rsidRDefault="00F424AC" w:rsidP="00F424AC">
      <w:pPr>
        <w:spacing w:after="240" w:line="360" w:lineRule="auto"/>
        <w:rPr>
          <w:rFonts w:cs="Calibri"/>
        </w:rPr>
      </w:pPr>
    </w:p>
    <w:p w14:paraId="7BFDE311" w14:textId="77777777" w:rsidR="00F424AC" w:rsidRPr="00EB071B" w:rsidRDefault="00F424AC" w:rsidP="00F424AC">
      <w:pPr>
        <w:spacing w:after="240" w:line="360" w:lineRule="auto"/>
        <w:rPr>
          <w:rFonts w:cs="Calibri"/>
        </w:rPr>
      </w:pPr>
    </w:p>
    <w:p w14:paraId="55FD0480" w14:textId="77777777" w:rsidR="00F424AC" w:rsidRPr="00EB071B" w:rsidRDefault="00F424AC" w:rsidP="0016341F">
      <w:pPr>
        <w:spacing w:line="276" w:lineRule="auto"/>
        <w:ind w:right="29"/>
        <w:jc w:val="right"/>
        <w:rPr>
          <w:rFonts w:ascii="Times New Roman" w:eastAsia="Times New Roman" w:hAnsi="Times New Roman"/>
          <w:b/>
          <w:lang w:eastAsia="en-US"/>
        </w:rPr>
      </w:pPr>
    </w:p>
    <w:sectPr w:rsidR="00F424AC" w:rsidRPr="00EB071B" w:rsidSect="008C7CF1">
      <w:footerReference w:type="even" r:id="rId9"/>
      <w:footerReference w:type="default" r:id="rId10"/>
      <w:pgSz w:w="11909" w:h="16834" w:code="9"/>
      <w:pgMar w:top="851" w:right="1136" w:bottom="360" w:left="1418" w:header="706" w:footer="2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0EC23" w14:textId="77777777" w:rsidR="002E6847" w:rsidRDefault="002E6847">
      <w:r>
        <w:separator/>
      </w:r>
    </w:p>
  </w:endnote>
  <w:endnote w:type="continuationSeparator" w:id="0">
    <w:p w14:paraId="115105AC" w14:textId="77777777" w:rsidR="002E6847" w:rsidRDefault="002E6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00D6B" w14:textId="77777777" w:rsidR="000A6091" w:rsidRDefault="000A6091" w:rsidP="00D20D3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CCF9B1D" w14:textId="77777777" w:rsidR="000A6091" w:rsidRDefault="000A6091" w:rsidP="00153D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1DDA6" w14:textId="77777777" w:rsidR="005D207E" w:rsidRDefault="005D207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C80F489" w14:textId="77777777" w:rsidR="000A6091" w:rsidRDefault="000A6091" w:rsidP="00153D2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2901E" w14:textId="77777777" w:rsidR="002E6847" w:rsidRDefault="002E6847">
      <w:r>
        <w:separator/>
      </w:r>
    </w:p>
  </w:footnote>
  <w:footnote w:type="continuationSeparator" w:id="0">
    <w:p w14:paraId="11BA9B52" w14:textId="77777777" w:rsidR="002E6847" w:rsidRDefault="002E68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26BD6"/>
    <w:multiLevelType w:val="hybridMultilevel"/>
    <w:tmpl w:val="503699FC"/>
    <w:lvl w:ilvl="0" w:tplc="695A08E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SimSu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2F691D"/>
    <w:multiLevelType w:val="hybridMultilevel"/>
    <w:tmpl w:val="B8BEC48A"/>
    <w:lvl w:ilvl="0" w:tplc="CCDEFA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66796"/>
    <w:multiLevelType w:val="hybridMultilevel"/>
    <w:tmpl w:val="30861368"/>
    <w:lvl w:ilvl="0" w:tplc="9A1A5AB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B43D81"/>
    <w:multiLevelType w:val="hybridMultilevel"/>
    <w:tmpl w:val="D30C3016"/>
    <w:lvl w:ilvl="0" w:tplc="4322D0C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FA51A4D"/>
    <w:multiLevelType w:val="hybridMultilevel"/>
    <w:tmpl w:val="4C887D06"/>
    <w:lvl w:ilvl="0" w:tplc="66CAE86A">
      <w:start w:val="1"/>
      <w:numFmt w:val="bullet"/>
      <w:lvlText w:val="–"/>
      <w:lvlJc w:val="left"/>
      <w:pPr>
        <w:ind w:left="1287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03C2FFA"/>
    <w:multiLevelType w:val="hybridMultilevel"/>
    <w:tmpl w:val="756A06AE"/>
    <w:lvl w:ilvl="0" w:tplc="6694D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9F5A84"/>
    <w:multiLevelType w:val="hybridMultilevel"/>
    <w:tmpl w:val="82A446DE"/>
    <w:lvl w:ilvl="0" w:tplc="84042428">
      <w:start w:val="1"/>
      <w:numFmt w:val="bullet"/>
      <w:lvlText w:val="-"/>
      <w:lvlJc w:val="left"/>
      <w:rPr>
        <w:rFonts w:ascii="Calibri" w:eastAsia="Calibr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B3783E"/>
    <w:multiLevelType w:val="hybridMultilevel"/>
    <w:tmpl w:val="C1E85C36"/>
    <w:lvl w:ilvl="0" w:tplc="ACEA27A2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52FB4152"/>
    <w:multiLevelType w:val="hybridMultilevel"/>
    <w:tmpl w:val="6540CF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B7CBE"/>
    <w:multiLevelType w:val="hybridMultilevel"/>
    <w:tmpl w:val="C51C519E"/>
    <w:lvl w:ilvl="0" w:tplc="0409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DF4FF7"/>
    <w:multiLevelType w:val="hybridMultilevel"/>
    <w:tmpl w:val="AC885DE8"/>
    <w:lvl w:ilvl="0" w:tplc="50263EB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5F168AB"/>
    <w:multiLevelType w:val="hybridMultilevel"/>
    <w:tmpl w:val="427E5EA6"/>
    <w:lvl w:ilvl="0" w:tplc="4322D0C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4"/>
  </w:num>
  <w:num w:numId="5">
    <w:abstractNumId w:val="11"/>
  </w:num>
  <w:num w:numId="6">
    <w:abstractNumId w:val="7"/>
  </w:num>
  <w:num w:numId="7">
    <w:abstractNumId w:val="3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5B46"/>
    <w:rsid w:val="00000904"/>
    <w:rsid w:val="00001F8D"/>
    <w:rsid w:val="0000273B"/>
    <w:rsid w:val="0000289E"/>
    <w:rsid w:val="00007CC4"/>
    <w:rsid w:val="00007ED9"/>
    <w:rsid w:val="000155C0"/>
    <w:rsid w:val="000248D7"/>
    <w:rsid w:val="00035C7B"/>
    <w:rsid w:val="0004512A"/>
    <w:rsid w:val="0005236A"/>
    <w:rsid w:val="000526BF"/>
    <w:rsid w:val="000667DC"/>
    <w:rsid w:val="00084F53"/>
    <w:rsid w:val="000923B3"/>
    <w:rsid w:val="00093FBB"/>
    <w:rsid w:val="000A416B"/>
    <w:rsid w:val="000A6091"/>
    <w:rsid w:val="000A6C37"/>
    <w:rsid w:val="000A7108"/>
    <w:rsid w:val="000F101C"/>
    <w:rsid w:val="00112BAF"/>
    <w:rsid w:val="001173B6"/>
    <w:rsid w:val="00120153"/>
    <w:rsid w:val="00121F2C"/>
    <w:rsid w:val="001226F7"/>
    <w:rsid w:val="001253FD"/>
    <w:rsid w:val="001408BB"/>
    <w:rsid w:val="00140D22"/>
    <w:rsid w:val="00143FCF"/>
    <w:rsid w:val="00150663"/>
    <w:rsid w:val="00153D29"/>
    <w:rsid w:val="00162E87"/>
    <w:rsid w:val="0016341F"/>
    <w:rsid w:val="00164414"/>
    <w:rsid w:val="00170AC7"/>
    <w:rsid w:val="0017672A"/>
    <w:rsid w:val="00176E1B"/>
    <w:rsid w:val="0018468E"/>
    <w:rsid w:val="001B62CF"/>
    <w:rsid w:val="001D345A"/>
    <w:rsid w:val="001D4A36"/>
    <w:rsid w:val="001E3AB1"/>
    <w:rsid w:val="00201289"/>
    <w:rsid w:val="00204634"/>
    <w:rsid w:val="00207F6D"/>
    <w:rsid w:val="00214276"/>
    <w:rsid w:val="0021493B"/>
    <w:rsid w:val="00214FE5"/>
    <w:rsid w:val="00216F96"/>
    <w:rsid w:val="00221BB3"/>
    <w:rsid w:val="002225EA"/>
    <w:rsid w:val="0023457E"/>
    <w:rsid w:val="00236627"/>
    <w:rsid w:val="00237DBE"/>
    <w:rsid w:val="00247E84"/>
    <w:rsid w:val="00251A8C"/>
    <w:rsid w:val="002702F6"/>
    <w:rsid w:val="00274604"/>
    <w:rsid w:val="002776D0"/>
    <w:rsid w:val="002B2D95"/>
    <w:rsid w:val="002B3C5D"/>
    <w:rsid w:val="002D464E"/>
    <w:rsid w:val="002E6792"/>
    <w:rsid w:val="002E6847"/>
    <w:rsid w:val="002E7D03"/>
    <w:rsid w:val="00301BC0"/>
    <w:rsid w:val="003027CB"/>
    <w:rsid w:val="00312AC7"/>
    <w:rsid w:val="00333E9E"/>
    <w:rsid w:val="003353EA"/>
    <w:rsid w:val="00335BE1"/>
    <w:rsid w:val="003567B8"/>
    <w:rsid w:val="00365870"/>
    <w:rsid w:val="00380430"/>
    <w:rsid w:val="00380F2A"/>
    <w:rsid w:val="00383AF6"/>
    <w:rsid w:val="0038422F"/>
    <w:rsid w:val="00396316"/>
    <w:rsid w:val="003A4F81"/>
    <w:rsid w:val="003C15CB"/>
    <w:rsid w:val="003C7807"/>
    <w:rsid w:val="003D15A1"/>
    <w:rsid w:val="003D5944"/>
    <w:rsid w:val="003D59AA"/>
    <w:rsid w:val="003E6A01"/>
    <w:rsid w:val="003F1431"/>
    <w:rsid w:val="003F3BDF"/>
    <w:rsid w:val="00402469"/>
    <w:rsid w:val="00403B00"/>
    <w:rsid w:val="0040405C"/>
    <w:rsid w:val="00412389"/>
    <w:rsid w:val="00460436"/>
    <w:rsid w:val="00480505"/>
    <w:rsid w:val="004844F8"/>
    <w:rsid w:val="004A0F8E"/>
    <w:rsid w:val="004A13DB"/>
    <w:rsid w:val="004A1D70"/>
    <w:rsid w:val="004B03ED"/>
    <w:rsid w:val="004B54DC"/>
    <w:rsid w:val="004B697C"/>
    <w:rsid w:val="004C402B"/>
    <w:rsid w:val="004C4FE7"/>
    <w:rsid w:val="004D254B"/>
    <w:rsid w:val="004D5406"/>
    <w:rsid w:val="004F1094"/>
    <w:rsid w:val="00503749"/>
    <w:rsid w:val="00505143"/>
    <w:rsid w:val="005059B7"/>
    <w:rsid w:val="00530CEF"/>
    <w:rsid w:val="00534AB1"/>
    <w:rsid w:val="00551332"/>
    <w:rsid w:val="0055552F"/>
    <w:rsid w:val="005A2043"/>
    <w:rsid w:val="005A7BB7"/>
    <w:rsid w:val="005C15BE"/>
    <w:rsid w:val="005C3B2A"/>
    <w:rsid w:val="005C6270"/>
    <w:rsid w:val="005D06F2"/>
    <w:rsid w:val="005D12DF"/>
    <w:rsid w:val="005D207E"/>
    <w:rsid w:val="005D5364"/>
    <w:rsid w:val="005E3278"/>
    <w:rsid w:val="005E35B7"/>
    <w:rsid w:val="005E4AC3"/>
    <w:rsid w:val="005E6B5A"/>
    <w:rsid w:val="005F4292"/>
    <w:rsid w:val="006040D7"/>
    <w:rsid w:val="00614D0C"/>
    <w:rsid w:val="0063310E"/>
    <w:rsid w:val="006341ED"/>
    <w:rsid w:val="006350D5"/>
    <w:rsid w:val="0063571C"/>
    <w:rsid w:val="006360FF"/>
    <w:rsid w:val="00641C02"/>
    <w:rsid w:val="0064399D"/>
    <w:rsid w:val="006528BC"/>
    <w:rsid w:val="00662647"/>
    <w:rsid w:val="00681106"/>
    <w:rsid w:val="00684554"/>
    <w:rsid w:val="006A5E27"/>
    <w:rsid w:val="006B246B"/>
    <w:rsid w:val="006C3DF3"/>
    <w:rsid w:val="006D10FA"/>
    <w:rsid w:val="006D357D"/>
    <w:rsid w:val="006D3653"/>
    <w:rsid w:val="006E139C"/>
    <w:rsid w:val="006E3578"/>
    <w:rsid w:val="00704863"/>
    <w:rsid w:val="00706223"/>
    <w:rsid w:val="00736C4F"/>
    <w:rsid w:val="00763469"/>
    <w:rsid w:val="00766C57"/>
    <w:rsid w:val="00771074"/>
    <w:rsid w:val="00775A81"/>
    <w:rsid w:val="0079794A"/>
    <w:rsid w:val="007A7F48"/>
    <w:rsid w:val="007C2E49"/>
    <w:rsid w:val="007E2B38"/>
    <w:rsid w:val="007E4017"/>
    <w:rsid w:val="00812D8F"/>
    <w:rsid w:val="00813681"/>
    <w:rsid w:val="0082038F"/>
    <w:rsid w:val="00830F87"/>
    <w:rsid w:val="00831FE8"/>
    <w:rsid w:val="0085151A"/>
    <w:rsid w:val="00874441"/>
    <w:rsid w:val="0089193A"/>
    <w:rsid w:val="008919CD"/>
    <w:rsid w:val="008A58F2"/>
    <w:rsid w:val="008B6D37"/>
    <w:rsid w:val="008C7CF1"/>
    <w:rsid w:val="008F3A13"/>
    <w:rsid w:val="00902573"/>
    <w:rsid w:val="00940CC3"/>
    <w:rsid w:val="0094336D"/>
    <w:rsid w:val="00943E8C"/>
    <w:rsid w:val="009470DD"/>
    <w:rsid w:val="00955E6F"/>
    <w:rsid w:val="00961997"/>
    <w:rsid w:val="00963E2F"/>
    <w:rsid w:val="009677F4"/>
    <w:rsid w:val="009A0094"/>
    <w:rsid w:val="009A2E80"/>
    <w:rsid w:val="009A37CC"/>
    <w:rsid w:val="009D26ED"/>
    <w:rsid w:val="009D5C83"/>
    <w:rsid w:val="009D687F"/>
    <w:rsid w:val="009D78D5"/>
    <w:rsid w:val="009F09E3"/>
    <w:rsid w:val="009F7EC9"/>
    <w:rsid w:val="00A23240"/>
    <w:rsid w:val="00A2405A"/>
    <w:rsid w:val="00A26D4C"/>
    <w:rsid w:val="00A36887"/>
    <w:rsid w:val="00A37991"/>
    <w:rsid w:val="00A40421"/>
    <w:rsid w:val="00A4101B"/>
    <w:rsid w:val="00A43C54"/>
    <w:rsid w:val="00A777E8"/>
    <w:rsid w:val="00AA2D47"/>
    <w:rsid w:val="00AD662B"/>
    <w:rsid w:val="00AD6F0C"/>
    <w:rsid w:val="00AD6F63"/>
    <w:rsid w:val="00AE0505"/>
    <w:rsid w:val="00B01B62"/>
    <w:rsid w:val="00B12A5D"/>
    <w:rsid w:val="00B1565B"/>
    <w:rsid w:val="00B34293"/>
    <w:rsid w:val="00B43774"/>
    <w:rsid w:val="00B629F5"/>
    <w:rsid w:val="00B67CAA"/>
    <w:rsid w:val="00B97FF0"/>
    <w:rsid w:val="00BA0371"/>
    <w:rsid w:val="00BA2652"/>
    <w:rsid w:val="00BB070D"/>
    <w:rsid w:val="00BB2CC0"/>
    <w:rsid w:val="00BB59A8"/>
    <w:rsid w:val="00BD5E24"/>
    <w:rsid w:val="00BE0E58"/>
    <w:rsid w:val="00BE12F5"/>
    <w:rsid w:val="00BE6568"/>
    <w:rsid w:val="00C153EE"/>
    <w:rsid w:val="00C22DD0"/>
    <w:rsid w:val="00C33B26"/>
    <w:rsid w:val="00C42EAB"/>
    <w:rsid w:val="00C65BBF"/>
    <w:rsid w:val="00C704B6"/>
    <w:rsid w:val="00C759F2"/>
    <w:rsid w:val="00C80B8D"/>
    <w:rsid w:val="00C93CEA"/>
    <w:rsid w:val="00C97639"/>
    <w:rsid w:val="00CA7DE1"/>
    <w:rsid w:val="00CC00E5"/>
    <w:rsid w:val="00CD2178"/>
    <w:rsid w:val="00CD3CD9"/>
    <w:rsid w:val="00CE04DA"/>
    <w:rsid w:val="00CE4E25"/>
    <w:rsid w:val="00D03AC8"/>
    <w:rsid w:val="00D071EF"/>
    <w:rsid w:val="00D10492"/>
    <w:rsid w:val="00D151D9"/>
    <w:rsid w:val="00D1592C"/>
    <w:rsid w:val="00D20D3F"/>
    <w:rsid w:val="00D2236C"/>
    <w:rsid w:val="00D23254"/>
    <w:rsid w:val="00D355D3"/>
    <w:rsid w:val="00D5782A"/>
    <w:rsid w:val="00D670FD"/>
    <w:rsid w:val="00D67BA5"/>
    <w:rsid w:val="00D741B1"/>
    <w:rsid w:val="00D744D5"/>
    <w:rsid w:val="00D86661"/>
    <w:rsid w:val="00D86914"/>
    <w:rsid w:val="00DA72FB"/>
    <w:rsid w:val="00DC31F3"/>
    <w:rsid w:val="00DD45F7"/>
    <w:rsid w:val="00DD588B"/>
    <w:rsid w:val="00DE072C"/>
    <w:rsid w:val="00DE735A"/>
    <w:rsid w:val="00DF1B55"/>
    <w:rsid w:val="00E006E5"/>
    <w:rsid w:val="00E06096"/>
    <w:rsid w:val="00E1513A"/>
    <w:rsid w:val="00E15F07"/>
    <w:rsid w:val="00E22323"/>
    <w:rsid w:val="00E2569C"/>
    <w:rsid w:val="00E45DD5"/>
    <w:rsid w:val="00E56B54"/>
    <w:rsid w:val="00E655E3"/>
    <w:rsid w:val="00E866CF"/>
    <w:rsid w:val="00E94A78"/>
    <w:rsid w:val="00E97A12"/>
    <w:rsid w:val="00EA07C9"/>
    <w:rsid w:val="00EA3C14"/>
    <w:rsid w:val="00EA7295"/>
    <w:rsid w:val="00EB071B"/>
    <w:rsid w:val="00EC7034"/>
    <w:rsid w:val="00ED568C"/>
    <w:rsid w:val="00ED5695"/>
    <w:rsid w:val="00EE069A"/>
    <w:rsid w:val="00EF1AD5"/>
    <w:rsid w:val="00EF7034"/>
    <w:rsid w:val="00F038BD"/>
    <w:rsid w:val="00F17542"/>
    <w:rsid w:val="00F261ED"/>
    <w:rsid w:val="00F35B46"/>
    <w:rsid w:val="00F424AC"/>
    <w:rsid w:val="00F477C2"/>
    <w:rsid w:val="00F60BB4"/>
    <w:rsid w:val="00F63977"/>
    <w:rsid w:val="00F74267"/>
    <w:rsid w:val="00F924A3"/>
    <w:rsid w:val="00F96FEF"/>
    <w:rsid w:val="00F9745B"/>
    <w:rsid w:val="00FA1395"/>
    <w:rsid w:val="00FA73B8"/>
    <w:rsid w:val="00FC39F9"/>
    <w:rsid w:val="00FD1058"/>
    <w:rsid w:val="00FE0E01"/>
    <w:rsid w:val="00FE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087B5F3"/>
  <w15:chartTrackingRefBased/>
  <w15:docId w15:val="{A25BFB0D-D8F1-4F95-AC8E-2FE82D2DC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0505"/>
    <w:rPr>
      <w:rFonts w:ascii="Trebuchet MS" w:hAnsi="Trebuchet MS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13DB"/>
    <w:pPr>
      <w:keepNext/>
      <w:keepLines/>
      <w:spacing w:before="240" w:line="288" w:lineRule="auto"/>
      <w:outlineLvl w:val="0"/>
    </w:pPr>
    <w:rPr>
      <w:rFonts w:ascii="Tahoma" w:eastAsia="Times New Roman" w:hAnsi="Tahoma"/>
      <w:b/>
      <w:color w:val="000000"/>
      <w:sz w:val="26"/>
      <w:szCs w:val="32"/>
      <w:u w:val="single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E45DD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153D2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53D29"/>
  </w:style>
  <w:style w:type="table" w:styleId="TableGrid">
    <w:name w:val="Table Grid"/>
    <w:basedOn w:val="TableNormal"/>
    <w:rsid w:val="004A1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ARTICOLeu">
    <w:name w:val="SUBARTICOL eu"/>
    <w:basedOn w:val="Normal"/>
    <w:link w:val="SUBARTICOLeuCaracter"/>
    <w:rsid w:val="005059B7"/>
    <w:pPr>
      <w:autoSpaceDE w:val="0"/>
      <w:autoSpaceDN w:val="0"/>
      <w:adjustRightInd w:val="0"/>
      <w:spacing w:before="40" w:line="242" w:lineRule="auto"/>
      <w:ind w:firstLine="284"/>
      <w:jc w:val="both"/>
    </w:pPr>
    <w:rPr>
      <w:rFonts w:ascii="Times New Roman" w:hAnsi="Times New Roman"/>
      <w:sz w:val="20"/>
      <w:szCs w:val="20"/>
      <w:lang w:eastAsia="en-US"/>
    </w:rPr>
  </w:style>
  <w:style w:type="character" w:customStyle="1" w:styleId="SUBARTICOLeuCaracter">
    <w:name w:val="SUBARTICOL eu Caracter"/>
    <w:link w:val="SUBARTICOLeu"/>
    <w:rsid w:val="005059B7"/>
    <w:rPr>
      <w:lang w:val="ro-RO" w:eastAsia="en-US" w:bidi="ar-SA"/>
    </w:rPr>
  </w:style>
  <w:style w:type="paragraph" w:styleId="BalloonText">
    <w:name w:val="Balloon Text"/>
    <w:basedOn w:val="Normal"/>
    <w:semiHidden/>
    <w:rsid w:val="006439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3571C"/>
    <w:pPr>
      <w:tabs>
        <w:tab w:val="center" w:pos="4536"/>
        <w:tab w:val="right" w:pos="9072"/>
      </w:tabs>
    </w:pPr>
  </w:style>
  <w:style w:type="character" w:customStyle="1" w:styleId="Heading1Char">
    <w:name w:val="Heading 1 Char"/>
    <w:link w:val="Heading1"/>
    <w:uiPriority w:val="9"/>
    <w:rsid w:val="004A13DB"/>
    <w:rPr>
      <w:rFonts w:ascii="Tahoma" w:eastAsia="Times New Roman" w:hAnsi="Tahoma"/>
      <w:b/>
      <w:color w:val="000000"/>
      <w:sz w:val="26"/>
      <w:szCs w:val="32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4A13DB"/>
    <w:pPr>
      <w:spacing w:line="288" w:lineRule="auto"/>
      <w:ind w:left="720"/>
      <w:contextualSpacing/>
    </w:pPr>
    <w:rPr>
      <w:rFonts w:ascii="Times New Roman" w:eastAsia="Times New Roman" w:hAnsi="Times New Roman"/>
      <w:sz w:val="28"/>
      <w:szCs w:val="22"/>
      <w:lang w:eastAsia="en-US"/>
    </w:rPr>
  </w:style>
  <w:style w:type="character" w:customStyle="1" w:styleId="FooterChar">
    <w:name w:val="Footer Char"/>
    <w:link w:val="Footer"/>
    <w:uiPriority w:val="99"/>
    <w:rsid w:val="009A2E80"/>
    <w:rPr>
      <w:rFonts w:ascii="Trebuchet MS" w:hAnsi="Trebuchet MS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B12A5D"/>
    <w:pPr>
      <w:spacing w:before="100" w:beforeAutospacing="1" w:after="100" w:afterAutospacing="1"/>
    </w:pPr>
    <w:rPr>
      <w:rFonts w:ascii="Times New Roman" w:eastAsia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5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re@unbr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D2468-2A8F-452B-B17F-31781631E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1027</Words>
  <Characters>5857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UNIUNEA NAŢIONALĂ A BAROURILOR DIN ROMÂNIA</vt:lpstr>
      <vt:lpstr>UNIUNEA NAŢIONALĂ A BAROURILOR DIN ROMÂNIA</vt:lpstr>
    </vt:vector>
  </TitlesOfParts>
  <Company>Hewlett-Packard</Company>
  <LinksUpToDate>false</LinksUpToDate>
  <CharactersWithSpaces>6871</CharactersWithSpaces>
  <SharedDoc>false</SharedDoc>
  <HLinks>
    <vt:vector size="6" baseType="variant">
      <vt:variant>
        <vt:i4>3997700</vt:i4>
      </vt:variant>
      <vt:variant>
        <vt:i4>0</vt:i4>
      </vt:variant>
      <vt:variant>
        <vt:i4>0</vt:i4>
      </vt:variant>
      <vt:variant>
        <vt:i4>5</vt:i4>
      </vt:variant>
      <vt:variant>
        <vt:lpwstr>mailto:comunicare@unbr.ro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NAŢIONALĂ A BAROURILOR DIN ROMÂNIA</dc:title>
  <dc:subject/>
  <dc:creator>Vasile Gheorghe</dc:creator>
  <cp:keywords/>
  <cp:lastModifiedBy>Sandu Gherasim</cp:lastModifiedBy>
  <cp:revision>2</cp:revision>
  <cp:lastPrinted>2017-02-20T10:19:00Z</cp:lastPrinted>
  <dcterms:created xsi:type="dcterms:W3CDTF">2022-03-23T14:34:00Z</dcterms:created>
  <dcterms:modified xsi:type="dcterms:W3CDTF">2022-03-23T14:34:00Z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1AWYmHTK1LJUPSJQBvt_R5C8CKcPRhL0BXlmZhEStBD4</vt:lpwstr>
  </property>
  <property fmtid="{D5CDD505-2E9C-101B-9397-08002B2CF9AE}" pid="4" name="Google.Documents.RevisionId">
    <vt:lpwstr>10456792347953657670</vt:lpwstr>
  </property>
  <property fmtid="{D5CDD505-2E9C-101B-9397-08002B2CF9AE}" pid="5" name="Google.Documents.PreviousRevisionId">
    <vt:lpwstr>01655940397247806628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