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1015" w14:textId="77777777" w:rsidR="007D0501" w:rsidRPr="00A3087A" w:rsidRDefault="007D0501" w:rsidP="007D0501">
      <w:pPr>
        <w:pStyle w:val="Heading2"/>
        <w:jc w:val="left"/>
        <w:rPr>
          <w:rFonts w:ascii="Arial Black" w:hAnsi="Arial Black"/>
          <w:shadow/>
          <w:sz w:val="30"/>
          <w:szCs w:val="30"/>
        </w:rPr>
      </w:pPr>
      <w:r w:rsidRPr="00A3087A">
        <w:rPr>
          <w:rFonts w:ascii="Arial Black" w:hAnsi="Arial Black"/>
          <w:shadow/>
          <w:sz w:val="30"/>
          <w:szCs w:val="30"/>
        </w:rPr>
        <w:t>UNIUNEA NAŢIONALĂ A BAROURILOR DIN ROMÂNIA</w:t>
      </w:r>
    </w:p>
    <w:p w14:paraId="636DA5E2" w14:textId="77777777" w:rsidR="00D408ED" w:rsidRPr="005D583A" w:rsidRDefault="00D408ED" w:rsidP="00D408ED">
      <w:pPr>
        <w:jc w:val="center"/>
        <w:rPr>
          <w:rFonts w:ascii="Arial" w:hAnsi="Arial" w:cs="Arial"/>
          <w:b/>
          <w:i/>
          <w:sz w:val="40"/>
        </w:rPr>
      </w:pPr>
      <w:r w:rsidRPr="005D583A">
        <w:rPr>
          <w:rFonts w:ascii="Arial" w:hAnsi="Arial" w:cs="Arial"/>
          <w:b/>
          <w:i/>
          <w:sz w:val="40"/>
        </w:rPr>
        <w:t>Co</w:t>
      </w:r>
      <w:r w:rsidR="006C2F71">
        <w:rPr>
          <w:rFonts w:ascii="Arial" w:hAnsi="Arial" w:cs="Arial"/>
          <w:b/>
          <w:i/>
          <w:sz w:val="40"/>
        </w:rPr>
        <w:t>nsiliul U.N.B.R.</w:t>
      </w:r>
    </w:p>
    <w:p w14:paraId="0081A80C" w14:textId="77777777" w:rsidR="00294215" w:rsidRDefault="00294215" w:rsidP="0005494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091878C7" w14:textId="77777777" w:rsidR="004F467E" w:rsidRDefault="004F467E" w:rsidP="0005494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0ADE286A" w14:textId="77777777" w:rsidR="00A8202F" w:rsidRPr="00C763DF" w:rsidRDefault="00A8202F" w:rsidP="0005494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07C11961" w14:textId="77777777" w:rsidR="006C2F71" w:rsidRPr="00C763DF" w:rsidRDefault="006C2F71" w:rsidP="006C2F7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HOTĂRÂREA</w:t>
      </w:r>
      <w:r w:rsidRPr="00C763DF">
        <w:rPr>
          <w:rFonts w:ascii="Arial" w:hAnsi="Arial" w:cs="Arial"/>
          <w:b/>
          <w:sz w:val="28"/>
          <w:szCs w:val="28"/>
          <w:u w:val="single"/>
        </w:rPr>
        <w:t xml:space="preserve">  nr. </w:t>
      </w:r>
      <w:r>
        <w:rPr>
          <w:rFonts w:ascii="Arial" w:hAnsi="Arial" w:cs="Arial"/>
          <w:b/>
          <w:sz w:val="28"/>
          <w:szCs w:val="28"/>
          <w:u w:val="single"/>
        </w:rPr>
        <w:t>240</w:t>
      </w:r>
    </w:p>
    <w:p w14:paraId="15F7562D" w14:textId="77777777" w:rsidR="006C2F71" w:rsidRDefault="006C2F71" w:rsidP="006C2F7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11-12 martie 2022</w:t>
      </w:r>
    </w:p>
    <w:p w14:paraId="4CB1B375" w14:textId="77777777" w:rsidR="00065DFB" w:rsidRDefault="00065DFB" w:rsidP="0005494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83E6D0D" w14:textId="77777777" w:rsidR="004F467E" w:rsidRDefault="004F467E" w:rsidP="0005494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DEA7046" w14:textId="77777777" w:rsidR="004F467E" w:rsidRPr="00CD01EA" w:rsidRDefault="004F467E" w:rsidP="0005494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5E2247D" w14:textId="77777777" w:rsidR="00CD01EA" w:rsidRPr="00CD01EA" w:rsidRDefault="006C2F71" w:rsidP="00054944">
      <w:pPr>
        <w:spacing w:line="276" w:lineRule="auto"/>
        <w:ind w:right="29" w:firstLine="72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i/>
          <w:szCs w:val="24"/>
        </w:rPr>
        <w:t>Consiliul</w:t>
      </w:r>
      <w:r w:rsidR="00D22AFE" w:rsidRPr="00CD01EA">
        <w:rPr>
          <w:rFonts w:ascii="Arial" w:hAnsi="Arial" w:cs="Arial"/>
          <w:b/>
          <w:i/>
          <w:szCs w:val="24"/>
        </w:rPr>
        <w:t xml:space="preserve"> Uniunii </w:t>
      </w:r>
      <w:r w:rsidRPr="00CD01EA">
        <w:rPr>
          <w:rFonts w:ascii="Arial" w:hAnsi="Arial" w:cs="Arial"/>
          <w:b/>
          <w:i/>
          <w:szCs w:val="24"/>
        </w:rPr>
        <w:t>Naționale</w:t>
      </w:r>
      <w:r w:rsidR="00D22AFE" w:rsidRPr="00CD01EA">
        <w:rPr>
          <w:rFonts w:ascii="Arial" w:hAnsi="Arial" w:cs="Arial"/>
          <w:b/>
          <w:i/>
          <w:szCs w:val="24"/>
        </w:rPr>
        <w:t xml:space="preserve"> a Barourilor din România</w:t>
      </w:r>
      <w:r>
        <w:rPr>
          <w:rFonts w:ascii="Arial" w:hAnsi="Arial" w:cs="Arial"/>
          <w:b/>
          <w:i/>
          <w:szCs w:val="24"/>
        </w:rPr>
        <w:t xml:space="preserve"> (UNBR)</w:t>
      </w:r>
      <w:r w:rsidR="00D22AFE" w:rsidRPr="00CD01EA">
        <w:rPr>
          <w:rFonts w:ascii="Arial" w:hAnsi="Arial" w:cs="Arial"/>
          <w:i/>
          <w:szCs w:val="24"/>
        </w:rPr>
        <w:t xml:space="preserve">, în </w:t>
      </w:r>
      <w:r w:rsidR="00054944" w:rsidRPr="00CD01EA">
        <w:rPr>
          <w:rFonts w:ascii="Arial" w:hAnsi="Arial" w:cs="Arial"/>
          <w:i/>
          <w:szCs w:val="24"/>
        </w:rPr>
        <w:t>ședința</w:t>
      </w:r>
      <w:r w:rsidR="00BE53CB" w:rsidRPr="00CD01EA">
        <w:rPr>
          <w:rFonts w:ascii="Arial" w:hAnsi="Arial" w:cs="Arial"/>
          <w:i/>
          <w:szCs w:val="24"/>
        </w:rPr>
        <w:t xml:space="preserve"> </w:t>
      </w:r>
      <w:r w:rsidR="00CD01EA" w:rsidRPr="00CD01EA">
        <w:rPr>
          <w:rFonts w:ascii="Arial" w:hAnsi="Arial" w:cs="Arial"/>
          <w:i/>
          <w:szCs w:val="24"/>
        </w:rPr>
        <w:t xml:space="preserve">din </w:t>
      </w:r>
      <w:r>
        <w:rPr>
          <w:rFonts w:ascii="Arial" w:hAnsi="Arial" w:cs="Arial"/>
          <w:i/>
          <w:szCs w:val="24"/>
        </w:rPr>
        <w:t>11-12 martie 2022</w:t>
      </w:r>
      <w:r w:rsidR="00D22AFE" w:rsidRPr="00CD01EA">
        <w:rPr>
          <w:rFonts w:ascii="Arial" w:hAnsi="Arial" w:cs="Arial"/>
          <w:i/>
          <w:szCs w:val="24"/>
        </w:rPr>
        <w:t>,</w:t>
      </w:r>
    </w:p>
    <w:p w14:paraId="5F9EC160" w14:textId="77777777" w:rsidR="00CD01EA" w:rsidRPr="00CD01EA" w:rsidRDefault="00CD01EA" w:rsidP="00CD01EA">
      <w:pPr>
        <w:spacing w:line="276" w:lineRule="auto"/>
        <w:ind w:right="29" w:firstLine="720"/>
        <w:jc w:val="both"/>
        <w:rPr>
          <w:rFonts w:ascii="Arial" w:hAnsi="Arial" w:cs="Arial"/>
          <w:i/>
          <w:szCs w:val="24"/>
        </w:rPr>
      </w:pPr>
      <w:r w:rsidRPr="00CD01EA">
        <w:rPr>
          <w:rFonts w:ascii="Arial" w:hAnsi="Arial" w:cs="Arial"/>
          <w:i/>
          <w:szCs w:val="24"/>
        </w:rPr>
        <w:t>În îndeplinirea atribuțiilor prevăzute la art. 6</w:t>
      </w:r>
      <w:r w:rsidR="00DB3865">
        <w:rPr>
          <w:rFonts w:ascii="Arial" w:hAnsi="Arial" w:cs="Arial"/>
          <w:i/>
          <w:szCs w:val="24"/>
        </w:rPr>
        <w:t>5</w:t>
      </w:r>
      <w:r w:rsidRPr="00CD01EA">
        <w:rPr>
          <w:rFonts w:ascii="Arial" w:hAnsi="Arial" w:cs="Arial"/>
          <w:i/>
          <w:szCs w:val="24"/>
        </w:rPr>
        <w:t xml:space="preserve"> lit. </w:t>
      </w:r>
      <w:r w:rsidR="00DB3865">
        <w:rPr>
          <w:rFonts w:ascii="Arial" w:hAnsi="Arial" w:cs="Arial"/>
          <w:i/>
          <w:szCs w:val="24"/>
        </w:rPr>
        <w:t>ș</w:t>
      </w:r>
      <w:r w:rsidRPr="00CD01EA">
        <w:rPr>
          <w:rFonts w:ascii="Arial" w:hAnsi="Arial" w:cs="Arial"/>
          <w:i/>
          <w:szCs w:val="24"/>
        </w:rPr>
        <w:t>) din Legea nr. 51/1995 pentru organizarea şi exercitarea profesiei de avocat, republicată, cu modificările și completările ulterioare (în continuare Lege),</w:t>
      </w:r>
    </w:p>
    <w:p w14:paraId="686D6447" w14:textId="77777777" w:rsidR="00D22AFE" w:rsidRPr="008035B0" w:rsidRDefault="00CD01EA" w:rsidP="00CD01EA">
      <w:pPr>
        <w:spacing w:line="276" w:lineRule="auto"/>
        <w:ind w:firstLine="708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iCs/>
        </w:rPr>
        <w:t>Având în vedere</w:t>
      </w:r>
      <w:r w:rsidRPr="00CD01EA">
        <w:rPr>
          <w:rFonts w:ascii="Arial" w:hAnsi="Arial" w:cs="Arial"/>
          <w:i/>
          <w:iCs/>
        </w:rPr>
        <w:t xml:space="preserve"> dispozițiile art. 28 alin. (8) din Hotărârea Consiliului Uniunii Naționale a Barourilor din România (UNBR) nr. 5/2011 privind aprobarea Regulamentului de organizare și funcționare a Uniunii Naționale a Barourilor din România și de desfășurare a ședințelor Consiliului Uniunii Naționale a Barourilor din România, precum și de prevederile </w:t>
      </w:r>
      <w:r w:rsidRPr="00CD01EA">
        <w:rPr>
          <w:rFonts w:ascii="Arial" w:hAnsi="Arial" w:cs="Arial"/>
          <w:i/>
        </w:rPr>
        <w:t>Regulamentul de lucru al comisiilor și grupurilor de lucru ale UNBR, astfel cum a fost modificat și completat prin Hotărârea Consiliului UNBR nr. 77/17-18 iulie 2020, astfel cum a fost republicat prin Hotărârea Consiliului UNBR nr. 84/17-18 iulie 2020,</w:t>
      </w:r>
      <w:r w:rsidR="00D22AFE" w:rsidRPr="008035B0">
        <w:rPr>
          <w:rFonts w:ascii="Arial" w:hAnsi="Arial" w:cs="Arial"/>
          <w:i/>
          <w:szCs w:val="24"/>
        </w:rPr>
        <w:t xml:space="preserve"> </w:t>
      </w:r>
    </w:p>
    <w:p w14:paraId="47ACE0EB" w14:textId="77777777" w:rsidR="005D5358" w:rsidRDefault="005D5358" w:rsidP="005D5358">
      <w:pPr>
        <w:spacing w:line="276" w:lineRule="auto"/>
        <w:ind w:right="29" w:firstLine="72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Văzând că, p</w:t>
      </w:r>
      <w:r w:rsidRPr="005D5358">
        <w:rPr>
          <w:rFonts w:ascii="Arial" w:hAnsi="Arial" w:cs="Arial"/>
          <w:i/>
          <w:szCs w:val="24"/>
        </w:rPr>
        <w:t>rin Legea nr.273/2021</w:t>
      </w:r>
      <w:r>
        <w:rPr>
          <w:rFonts w:ascii="Arial" w:hAnsi="Arial" w:cs="Arial"/>
          <w:i/>
          <w:szCs w:val="24"/>
        </w:rPr>
        <w:t xml:space="preserve"> </w:t>
      </w:r>
      <w:r w:rsidRPr="005D5358">
        <w:rPr>
          <w:rFonts w:ascii="Arial" w:hAnsi="Arial" w:cs="Arial"/>
          <w:i/>
          <w:szCs w:val="24"/>
        </w:rPr>
        <w:t>pentru modificarea și completarea Legii educației naționale nr.1/2011, educația juridic</w:t>
      </w:r>
      <w:r w:rsidRPr="005D5358">
        <w:rPr>
          <w:rFonts w:ascii="Arial" w:hAnsi="Arial" w:cs="Arial" w:hint="eastAsia"/>
          <w:i/>
          <w:szCs w:val="24"/>
        </w:rPr>
        <w:t>ă</w:t>
      </w:r>
      <w:r w:rsidRPr="005D5358">
        <w:rPr>
          <w:rFonts w:ascii="Arial" w:hAnsi="Arial" w:cs="Arial"/>
          <w:i/>
          <w:szCs w:val="24"/>
        </w:rPr>
        <w:t xml:space="preserve"> face parte din domeniile de competențe cheie la nivel preuniversitar (gimnaziu și liceu) începând cu anul școlar 2022-2023, iar prin Legea nr</w:t>
      </w:r>
      <w:r>
        <w:rPr>
          <w:rFonts w:ascii="Arial" w:hAnsi="Arial" w:cs="Arial"/>
          <w:i/>
          <w:szCs w:val="24"/>
        </w:rPr>
        <w:t>.</w:t>
      </w:r>
      <w:r w:rsidRPr="005D5358">
        <w:rPr>
          <w:rFonts w:ascii="Arial" w:hAnsi="Arial" w:cs="Arial"/>
          <w:i/>
          <w:szCs w:val="24"/>
        </w:rPr>
        <w:t xml:space="preserve"> 184/2021</w:t>
      </w:r>
      <w:r>
        <w:rPr>
          <w:rFonts w:ascii="Arial" w:hAnsi="Arial" w:cs="Arial"/>
          <w:i/>
          <w:szCs w:val="24"/>
        </w:rPr>
        <w:t xml:space="preserve"> </w:t>
      </w:r>
      <w:r w:rsidRPr="005D5358">
        <w:rPr>
          <w:rFonts w:ascii="Arial" w:hAnsi="Arial" w:cs="Arial"/>
          <w:i/>
          <w:szCs w:val="24"/>
        </w:rPr>
        <w:t>privind modificarea art. 16 din Legea nr. 51/1995 pentru organizarea și exercitarea profesiei de avocat, exercitarea profesiei de avocat este compatibil</w:t>
      </w:r>
      <w:r w:rsidRPr="005D5358">
        <w:rPr>
          <w:rFonts w:ascii="Arial" w:hAnsi="Arial" w:cs="Arial" w:hint="eastAsia"/>
          <w:i/>
          <w:szCs w:val="24"/>
        </w:rPr>
        <w:t>ă</w:t>
      </w:r>
      <w:r w:rsidRPr="005D5358">
        <w:rPr>
          <w:rFonts w:ascii="Arial" w:hAnsi="Arial" w:cs="Arial"/>
          <w:i/>
          <w:szCs w:val="24"/>
        </w:rPr>
        <w:t xml:space="preserve"> cu activit</w:t>
      </w:r>
      <w:r w:rsidRPr="005D5358">
        <w:rPr>
          <w:rFonts w:ascii="Arial" w:hAnsi="Arial" w:cs="Arial" w:hint="eastAsia"/>
          <w:i/>
          <w:szCs w:val="24"/>
        </w:rPr>
        <w:t>ă</w:t>
      </w:r>
      <w:r w:rsidRPr="005D5358">
        <w:rPr>
          <w:rFonts w:ascii="Arial" w:hAnsi="Arial" w:cs="Arial"/>
          <w:i/>
          <w:szCs w:val="24"/>
        </w:rPr>
        <w:t>țile didactice cu conținut juridic în înv</w:t>
      </w:r>
      <w:r w:rsidRPr="005D5358">
        <w:rPr>
          <w:rFonts w:ascii="Arial" w:hAnsi="Arial" w:cs="Arial" w:hint="eastAsia"/>
          <w:i/>
          <w:szCs w:val="24"/>
        </w:rPr>
        <w:t>ă</w:t>
      </w:r>
      <w:r w:rsidRPr="005D5358">
        <w:rPr>
          <w:rFonts w:ascii="Arial" w:hAnsi="Arial" w:cs="Arial"/>
          <w:i/>
          <w:szCs w:val="24"/>
        </w:rPr>
        <w:t>ț</w:t>
      </w:r>
      <w:r w:rsidRPr="005D5358">
        <w:rPr>
          <w:rFonts w:ascii="Arial" w:hAnsi="Arial" w:cs="Arial" w:hint="eastAsia"/>
          <w:i/>
          <w:szCs w:val="24"/>
        </w:rPr>
        <w:t>ă</w:t>
      </w:r>
      <w:r w:rsidRPr="005D5358">
        <w:rPr>
          <w:rFonts w:ascii="Arial" w:hAnsi="Arial" w:cs="Arial"/>
          <w:i/>
          <w:szCs w:val="24"/>
        </w:rPr>
        <w:t>mântul liceal și gimnazial</w:t>
      </w:r>
      <w:r>
        <w:rPr>
          <w:rFonts w:ascii="Arial" w:hAnsi="Arial" w:cs="Arial"/>
          <w:i/>
          <w:szCs w:val="24"/>
        </w:rPr>
        <w:t>;</w:t>
      </w:r>
    </w:p>
    <w:p w14:paraId="4E3D6B24" w14:textId="77777777" w:rsidR="00BE53CB" w:rsidRDefault="00BE53CB" w:rsidP="00054944">
      <w:pPr>
        <w:spacing w:line="276" w:lineRule="auto"/>
        <w:ind w:right="29" w:firstLine="720"/>
        <w:jc w:val="both"/>
        <w:rPr>
          <w:rFonts w:ascii="Arial" w:hAnsi="Arial" w:cs="Arial"/>
          <w:i/>
          <w:szCs w:val="24"/>
        </w:rPr>
      </w:pPr>
      <w:r w:rsidRPr="008035B0">
        <w:rPr>
          <w:rFonts w:ascii="Arial" w:hAnsi="Arial" w:cs="Arial"/>
          <w:i/>
          <w:szCs w:val="24"/>
        </w:rPr>
        <w:t xml:space="preserve">Ținând cont de necesitatea de a analiza și propune cu celeritate soluții privind implementarea Proiectului </w:t>
      </w:r>
      <w:r w:rsidR="00CD01EA">
        <w:rPr>
          <w:rFonts w:ascii="Arial" w:hAnsi="Arial" w:cs="Arial"/>
          <w:i/>
          <w:szCs w:val="24"/>
        </w:rPr>
        <w:t xml:space="preserve">UNBR </w:t>
      </w:r>
      <w:r w:rsidR="00CD01EA" w:rsidRPr="00CD01EA">
        <w:rPr>
          <w:rFonts w:ascii="Arial" w:hAnsi="Arial" w:cs="Arial"/>
          <w:i/>
          <w:szCs w:val="24"/>
        </w:rPr>
        <w:t>“Fii avocat în școala ta!”, care se va desf</w:t>
      </w:r>
      <w:r w:rsidR="00CD01EA" w:rsidRPr="00CD01EA">
        <w:rPr>
          <w:rFonts w:ascii="Arial" w:hAnsi="Arial" w:cs="Arial" w:hint="eastAsia"/>
          <w:i/>
          <w:szCs w:val="24"/>
        </w:rPr>
        <w:t>ă</w:t>
      </w:r>
      <w:r w:rsidR="00CD01EA" w:rsidRPr="00CD01EA">
        <w:rPr>
          <w:rFonts w:ascii="Arial" w:hAnsi="Arial" w:cs="Arial"/>
          <w:i/>
          <w:szCs w:val="24"/>
        </w:rPr>
        <w:t>șura la nivel național, în considerarea faptului c</w:t>
      </w:r>
      <w:r w:rsidR="00CD01EA" w:rsidRPr="00CD01EA">
        <w:rPr>
          <w:rFonts w:ascii="Arial" w:hAnsi="Arial" w:cs="Arial" w:hint="eastAsia"/>
          <w:i/>
          <w:szCs w:val="24"/>
        </w:rPr>
        <w:t>ă</w:t>
      </w:r>
      <w:r w:rsidR="00CD01EA" w:rsidRPr="00CD01EA">
        <w:rPr>
          <w:rFonts w:ascii="Arial" w:hAnsi="Arial" w:cs="Arial"/>
          <w:i/>
          <w:szCs w:val="24"/>
        </w:rPr>
        <w:t xml:space="preserve"> implicarea avocaților în viața comunit</w:t>
      </w:r>
      <w:r w:rsidR="00CD01EA" w:rsidRPr="00CD01EA">
        <w:rPr>
          <w:rFonts w:ascii="Arial" w:hAnsi="Arial" w:cs="Arial" w:hint="eastAsia"/>
          <w:i/>
          <w:szCs w:val="24"/>
        </w:rPr>
        <w:t>ă</w:t>
      </w:r>
      <w:r w:rsidR="00CD01EA" w:rsidRPr="00CD01EA">
        <w:rPr>
          <w:rFonts w:ascii="Arial" w:hAnsi="Arial" w:cs="Arial"/>
          <w:i/>
          <w:szCs w:val="24"/>
        </w:rPr>
        <w:t>ții este esențial</w:t>
      </w:r>
      <w:r w:rsidR="00CD01EA" w:rsidRPr="00CD01EA">
        <w:rPr>
          <w:rFonts w:ascii="Arial" w:hAnsi="Arial" w:cs="Arial" w:hint="eastAsia"/>
          <w:i/>
          <w:szCs w:val="24"/>
        </w:rPr>
        <w:t>ă</w:t>
      </w:r>
      <w:r w:rsidR="00CD01EA" w:rsidRPr="00CD01EA">
        <w:rPr>
          <w:rFonts w:ascii="Arial" w:hAnsi="Arial" w:cs="Arial"/>
          <w:i/>
          <w:szCs w:val="24"/>
        </w:rPr>
        <w:t xml:space="preserve"> pentru înt</w:t>
      </w:r>
      <w:r w:rsidR="00CD01EA" w:rsidRPr="00CD01EA">
        <w:rPr>
          <w:rFonts w:ascii="Arial" w:hAnsi="Arial" w:cs="Arial" w:hint="eastAsia"/>
          <w:i/>
          <w:szCs w:val="24"/>
        </w:rPr>
        <w:t>ă</w:t>
      </w:r>
      <w:r w:rsidR="00CD01EA" w:rsidRPr="00CD01EA">
        <w:rPr>
          <w:rFonts w:ascii="Arial" w:hAnsi="Arial" w:cs="Arial"/>
          <w:i/>
          <w:szCs w:val="24"/>
        </w:rPr>
        <w:t>rirea respectului cet</w:t>
      </w:r>
      <w:r w:rsidR="00CD01EA" w:rsidRPr="00CD01EA">
        <w:rPr>
          <w:rFonts w:ascii="Arial" w:hAnsi="Arial" w:cs="Arial" w:hint="eastAsia"/>
          <w:i/>
          <w:szCs w:val="24"/>
        </w:rPr>
        <w:t>ă</w:t>
      </w:r>
      <w:r w:rsidR="00CD01EA" w:rsidRPr="00CD01EA">
        <w:rPr>
          <w:rFonts w:ascii="Arial" w:hAnsi="Arial" w:cs="Arial"/>
          <w:i/>
          <w:szCs w:val="24"/>
        </w:rPr>
        <w:t>țenilor faț</w:t>
      </w:r>
      <w:r w:rsidR="00CD01EA" w:rsidRPr="00CD01EA">
        <w:rPr>
          <w:rFonts w:ascii="Arial" w:hAnsi="Arial" w:cs="Arial" w:hint="eastAsia"/>
          <w:i/>
          <w:szCs w:val="24"/>
        </w:rPr>
        <w:t>ă</w:t>
      </w:r>
      <w:r w:rsidR="00CD01EA" w:rsidRPr="00CD01EA">
        <w:rPr>
          <w:rFonts w:ascii="Arial" w:hAnsi="Arial" w:cs="Arial"/>
          <w:i/>
          <w:szCs w:val="24"/>
        </w:rPr>
        <w:t xml:space="preserve"> de profesie</w:t>
      </w:r>
      <w:r w:rsidR="00037AAA">
        <w:rPr>
          <w:rFonts w:ascii="Arial" w:hAnsi="Arial" w:cs="Arial"/>
          <w:i/>
          <w:szCs w:val="24"/>
        </w:rPr>
        <w:t>,</w:t>
      </w:r>
    </w:p>
    <w:p w14:paraId="254420C4" w14:textId="77777777" w:rsidR="006C2F71" w:rsidRDefault="006C2F71" w:rsidP="006C2F71">
      <w:pPr>
        <w:spacing w:line="276" w:lineRule="auto"/>
        <w:ind w:right="29" w:firstLine="72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Cu luarea în considerare a Deciziei Comisiei Permanente nr. </w:t>
      </w:r>
      <w:r w:rsidRPr="006C2F71">
        <w:rPr>
          <w:rFonts w:ascii="Arial" w:hAnsi="Arial" w:cs="Arial"/>
          <w:i/>
          <w:szCs w:val="24"/>
        </w:rPr>
        <w:t>309</w:t>
      </w:r>
      <w:r>
        <w:rPr>
          <w:rFonts w:ascii="Arial" w:hAnsi="Arial" w:cs="Arial"/>
          <w:i/>
          <w:szCs w:val="24"/>
        </w:rPr>
        <w:t>/</w:t>
      </w:r>
      <w:r w:rsidRPr="006C2F71">
        <w:rPr>
          <w:rFonts w:ascii="Arial" w:hAnsi="Arial" w:cs="Arial"/>
          <w:i/>
          <w:szCs w:val="24"/>
        </w:rPr>
        <w:t>04-05 februarie 2022</w:t>
      </w:r>
      <w:r w:rsidR="00DB3865">
        <w:rPr>
          <w:rFonts w:ascii="Arial" w:hAnsi="Arial" w:cs="Arial"/>
          <w:i/>
          <w:szCs w:val="24"/>
        </w:rPr>
        <w:t xml:space="preserve"> și a dezbaterilor din ședința Consiliului din 11-12.03.2022,</w:t>
      </w:r>
    </w:p>
    <w:p w14:paraId="41A9CD21" w14:textId="77777777" w:rsidR="00065DFB" w:rsidRDefault="00065DFB" w:rsidP="00054944">
      <w:pPr>
        <w:spacing w:line="276" w:lineRule="auto"/>
        <w:ind w:right="29"/>
        <w:jc w:val="center"/>
        <w:rPr>
          <w:rFonts w:ascii="Arial" w:hAnsi="Arial" w:cs="Arial"/>
          <w:i/>
          <w:sz w:val="28"/>
          <w:szCs w:val="28"/>
        </w:rPr>
      </w:pPr>
    </w:p>
    <w:p w14:paraId="2A2F413B" w14:textId="77777777" w:rsidR="004F467E" w:rsidRPr="00C763DF" w:rsidRDefault="004F467E" w:rsidP="00054944">
      <w:pPr>
        <w:spacing w:line="276" w:lineRule="auto"/>
        <w:ind w:right="29"/>
        <w:jc w:val="center"/>
        <w:rPr>
          <w:rFonts w:ascii="Arial" w:hAnsi="Arial" w:cs="Arial"/>
          <w:i/>
          <w:sz w:val="28"/>
          <w:szCs w:val="28"/>
        </w:rPr>
      </w:pPr>
    </w:p>
    <w:p w14:paraId="71E650E4" w14:textId="77777777" w:rsidR="00365B86" w:rsidRPr="00365B86" w:rsidRDefault="00272A79" w:rsidP="00054944">
      <w:pPr>
        <w:spacing w:line="276" w:lineRule="auto"/>
        <w:ind w:right="29"/>
        <w:jc w:val="center"/>
        <w:rPr>
          <w:rFonts w:ascii="Arial" w:hAnsi="Arial" w:cs="Arial"/>
          <w:b/>
          <w:sz w:val="28"/>
          <w:szCs w:val="28"/>
        </w:rPr>
      </w:pPr>
      <w:r w:rsidRPr="00C763DF">
        <w:rPr>
          <w:rFonts w:ascii="Arial" w:hAnsi="Arial" w:cs="Arial"/>
          <w:b/>
          <w:sz w:val="28"/>
          <w:szCs w:val="28"/>
        </w:rPr>
        <w:t>D E C I D E :</w:t>
      </w:r>
      <w:r w:rsidR="00365B86" w:rsidRPr="00365B86">
        <w:rPr>
          <w:rFonts w:ascii="Arial" w:hAnsi="Arial" w:cs="Arial"/>
          <w:b/>
          <w:szCs w:val="24"/>
        </w:rPr>
        <w:t xml:space="preserve"> </w:t>
      </w:r>
    </w:p>
    <w:p w14:paraId="2BBA4094" w14:textId="77777777" w:rsidR="00065DFB" w:rsidRDefault="00065DFB" w:rsidP="0005494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234C2A16" w14:textId="77777777" w:rsidR="004F467E" w:rsidRPr="00C763DF" w:rsidRDefault="004F467E" w:rsidP="0005494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3BF749EF" w14:textId="77777777" w:rsidR="00DB3865" w:rsidRDefault="00173256" w:rsidP="00054944">
      <w:pPr>
        <w:spacing w:line="276" w:lineRule="auto"/>
        <w:jc w:val="both"/>
        <w:rPr>
          <w:rFonts w:ascii="Arial" w:hAnsi="Arial" w:cs="Arial"/>
          <w:szCs w:val="24"/>
        </w:rPr>
      </w:pPr>
      <w:r w:rsidRPr="00FF502A">
        <w:rPr>
          <w:rStyle w:val="do1"/>
          <w:rFonts w:ascii="Arial" w:hAnsi="Arial" w:cs="Arial"/>
          <w:b w:val="0"/>
          <w:bCs w:val="0"/>
          <w:sz w:val="24"/>
          <w:szCs w:val="24"/>
        </w:rPr>
        <w:tab/>
      </w:r>
      <w:r w:rsidR="00942854" w:rsidRPr="00FF502A">
        <w:rPr>
          <w:rStyle w:val="do1"/>
          <w:rFonts w:ascii="Arial" w:hAnsi="Arial" w:cs="Arial"/>
          <w:bCs w:val="0"/>
          <w:sz w:val="24"/>
          <w:szCs w:val="24"/>
        </w:rPr>
        <w:t>Art. 1.</w:t>
      </w:r>
      <w:r w:rsidR="00942854" w:rsidRPr="00FF502A">
        <w:rPr>
          <w:rStyle w:val="do1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942854" w:rsidRPr="00FF502A">
        <w:rPr>
          <w:rFonts w:ascii="Arial" w:hAnsi="Arial" w:cs="Arial"/>
          <w:b/>
          <w:szCs w:val="24"/>
        </w:rPr>
        <w:t xml:space="preserve">– </w:t>
      </w:r>
      <w:r w:rsidR="00FF502A" w:rsidRPr="00FF502A">
        <w:rPr>
          <w:rFonts w:ascii="Arial" w:hAnsi="Arial" w:cs="Arial"/>
          <w:szCs w:val="24"/>
        </w:rPr>
        <w:t>(1)</w:t>
      </w:r>
      <w:r w:rsidR="00FF502A" w:rsidRPr="00FF502A">
        <w:rPr>
          <w:rFonts w:ascii="Arial" w:hAnsi="Arial" w:cs="Arial"/>
          <w:b/>
          <w:szCs w:val="24"/>
        </w:rPr>
        <w:t xml:space="preserve"> </w:t>
      </w:r>
      <w:r w:rsidR="00942854" w:rsidRPr="00FF502A">
        <w:rPr>
          <w:rFonts w:ascii="Arial" w:hAnsi="Arial" w:cs="Arial"/>
          <w:szCs w:val="24"/>
        </w:rPr>
        <w:t>Se</w:t>
      </w:r>
      <w:r w:rsidR="00DB3865">
        <w:rPr>
          <w:rFonts w:ascii="Arial" w:hAnsi="Arial" w:cs="Arial"/>
          <w:szCs w:val="24"/>
        </w:rPr>
        <w:t xml:space="preserve"> ratifică </w:t>
      </w:r>
      <w:r w:rsidR="00DB3865" w:rsidRPr="00DB3865">
        <w:rPr>
          <w:rFonts w:ascii="Arial" w:hAnsi="Arial" w:cs="Arial"/>
          <w:szCs w:val="24"/>
        </w:rPr>
        <w:t>Decizi</w:t>
      </w:r>
      <w:r w:rsidR="00DB3865">
        <w:rPr>
          <w:rFonts w:ascii="Arial" w:hAnsi="Arial" w:cs="Arial"/>
          <w:szCs w:val="24"/>
        </w:rPr>
        <w:t>a</w:t>
      </w:r>
      <w:r w:rsidR="00DB3865" w:rsidRPr="00DB3865">
        <w:rPr>
          <w:rFonts w:ascii="Arial" w:hAnsi="Arial" w:cs="Arial"/>
          <w:szCs w:val="24"/>
        </w:rPr>
        <w:t xml:space="preserve"> Comisiei Permanente nr. 309/04-05 februarie 2022</w:t>
      </w:r>
      <w:r w:rsidR="00DB3865">
        <w:rPr>
          <w:rFonts w:ascii="Arial" w:hAnsi="Arial" w:cs="Arial"/>
          <w:szCs w:val="24"/>
        </w:rPr>
        <w:t xml:space="preserve"> prin care se </w:t>
      </w:r>
      <w:r w:rsidR="00942854" w:rsidRPr="00FF502A">
        <w:rPr>
          <w:rFonts w:ascii="Arial" w:hAnsi="Arial" w:cs="Arial"/>
          <w:szCs w:val="24"/>
        </w:rPr>
        <w:t>aprobă constituirea un</w:t>
      </w:r>
      <w:r w:rsidR="008035B0">
        <w:rPr>
          <w:rFonts w:ascii="Arial" w:hAnsi="Arial" w:cs="Arial"/>
          <w:szCs w:val="24"/>
        </w:rPr>
        <w:t xml:space="preserve">ei </w:t>
      </w:r>
      <w:r w:rsidR="00037AAA">
        <w:rPr>
          <w:rFonts w:ascii="Arial" w:hAnsi="Arial" w:cs="Arial"/>
          <w:szCs w:val="24"/>
        </w:rPr>
        <w:t xml:space="preserve">grup de lucru al Consiliului UNBR, denumit </w:t>
      </w:r>
      <w:r w:rsidR="00037AAA" w:rsidRPr="00037AAA">
        <w:rPr>
          <w:rFonts w:ascii="Arial" w:hAnsi="Arial" w:cs="Arial"/>
          <w:szCs w:val="24"/>
        </w:rPr>
        <w:t xml:space="preserve">Departamentul </w:t>
      </w:r>
      <w:r w:rsidR="00037AAA">
        <w:rPr>
          <w:rFonts w:ascii="Arial" w:hAnsi="Arial" w:cs="Arial"/>
          <w:szCs w:val="24"/>
        </w:rPr>
        <w:t xml:space="preserve">de </w:t>
      </w:r>
      <w:r w:rsidR="00037AAA" w:rsidRPr="00037AAA">
        <w:rPr>
          <w:rFonts w:ascii="Arial" w:hAnsi="Arial" w:cs="Arial"/>
          <w:szCs w:val="24"/>
        </w:rPr>
        <w:t>Educație Juridic</w:t>
      </w:r>
      <w:r w:rsidR="00037AAA">
        <w:rPr>
          <w:rFonts w:ascii="Arial" w:hAnsi="Arial" w:cs="Arial"/>
          <w:szCs w:val="24"/>
        </w:rPr>
        <w:t>ă</w:t>
      </w:r>
      <w:r w:rsidR="00037AAA" w:rsidRPr="00037AAA">
        <w:rPr>
          <w:rFonts w:ascii="Arial" w:hAnsi="Arial" w:cs="Arial"/>
          <w:szCs w:val="24"/>
        </w:rPr>
        <w:t xml:space="preserve"> al UNBR (DEJ)</w:t>
      </w:r>
      <w:r w:rsidR="00DB3865">
        <w:rPr>
          <w:rFonts w:ascii="Arial" w:hAnsi="Arial" w:cs="Arial"/>
          <w:szCs w:val="24"/>
        </w:rPr>
        <w:t>.</w:t>
      </w:r>
    </w:p>
    <w:p w14:paraId="18DC3BA8" w14:textId="77777777" w:rsidR="00037AAA" w:rsidRDefault="00DB3865" w:rsidP="00DB3865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(2) Grupul de lucru este </w:t>
      </w:r>
      <w:r w:rsidR="00FF502A" w:rsidRPr="00FF502A">
        <w:rPr>
          <w:rFonts w:ascii="Arial" w:hAnsi="Arial" w:cs="Arial"/>
          <w:szCs w:val="24"/>
        </w:rPr>
        <w:t>format din</w:t>
      </w:r>
      <w:r w:rsidR="006B2C3C" w:rsidRPr="00FF502A">
        <w:rPr>
          <w:rFonts w:ascii="Arial" w:hAnsi="Arial" w:cs="Arial"/>
          <w:szCs w:val="24"/>
        </w:rPr>
        <w:t xml:space="preserve"> </w:t>
      </w:r>
      <w:r w:rsidR="008035B0">
        <w:rPr>
          <w:rFonts w:ascii="Arial" w:hAnsi="Arial" w:cs="Arial"/>
          <w:szCs w:val="24"/>
        </w:rPr>
        <w:t>următorii:</w:t>
      </w:r>
    </w:p>
    <w:p w14:paraId="53E949BD" w14:textId="77777777" w:rsidR="00037AAA" w:rsidRDefault="00037AAA" w:rsidP="00054944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a). doamna avocat </w:t>
      </w:r>
      <w:r w:rsidRPr="00037AAA">
        <w:rPr>
          <w:rFonts w:ascii="Arial" w:hAnsi="Arial" w:cs="Arial"/>
          <w:szCs w:val="24"/>
        </w:rPr>
        <w:t>Luminița I</w:t>
      </w:r>
      <w:r>
        <w:rPr>
          <w:rFonts w:ascii="Arial" w:hAnsi="Arial" w:cs="Arial"/>
          <w:szCs w:val="24"/>
        </w:rPr>
        <w:t xml:space="preserve">oana, Decanul Baroului Argeș, coordonator; </w:t>
      </w:r>
    </w:p>
    <w:p w14:paraId="37BEA9DB" w14:textId="77777777" w:rsidR="00037AAA" w:rsidRDefault="00037AAA" w:rsidP="00054944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b). doamna avocat </w:t>
      </w:r>
      <w:r w:rsidRPr="00037AAA">
        <w:rPr>
          <w:rFonts w:ascii="Arial" w:hAnsi="Arial" w:cs="Arial"/>
          <w:szCs w:val="24"/>
        </w:rPr>
        <w:t>Ema</w:t>
      </w:r>
      <w:r w:rsidR="00F0632B">
        <w:rPr>
          <w:rFonts w:ascii="Arial" w:hAnsi="Arial" w:cs="Arial"/>
          <w:szCs w:val="24"/>
        </w:rPr>
        <w:t xml:space="preserve">nuela </w:t>
      </w:r>
      <w:r w:rsidRPr="00037AAA">
        <w:rPr>
          <w:rFonts w:ascii="Arial" w:hAnsi="Arial" w:cs="Arial"/>
          <w:szCs w:val="24"/>
        </w:rPr>
        <w:t>Antonescu</w:t>
      </w:r>
      <w:r>
        <w:rPr>
          <w:rFonts w:ascii="Arial" w:hAnsi="Arial" w:cs="Arial"/>
          <w:szCs w:val="24"/>
        </w:rPr>
        <w:t xml:space="preserve">, Decanul Baroului Prahova; </w:t>
      </w:r>
    </w:p>
    <w:p w14:paraId="28871A5D" w14:textId="77777777" w:rsidR="00037AAA" w:rsidRDefault="00037AAA" w:rsidP="00037AAA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c). doamna avocat </w:t>
      </w:r>
      <w:r w:rsidRPr="00037AAA">
        <w:rPr>
          <w:rFonts w:ascii="Arial" w:hAnsi="Arial" w:cs="Arial"/>
          <w:szCs w:val="24"/>
        </w:rPr>
        <w:t>Teodora Calipetre</w:t>
      </w:r>
      <w:r>
        <w:rPr>
          <w:rFonts w:ascii="Arial" w:hAnsi="Arial" w:cs="Arial"/>
          <w:szCs w:val="24"/>
        </w:rPr>
        <w:t>, Baroul Constanța;;</w:t>
      </w:r>
    </w:p>
    <w:p w14:paraId="620B3986" w14:textId="77777777" w:rsidR="00037AAA" w:rsidRDefault="00037AAA" w:rsidP="00037AAA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d). doamna avocat </w:t>
      </w:r>
      <w:r w:rsidRPr="00037AAA">
        <w:rPr>
          <w:rFonts w:ascii="Arial" w:hAnsi="Arial" w:cs="Arial"/>
          <w:szCs w:val="24"/>
        </w:rPr>
        <w:t>Andreea</w:t>
      </w:r>
      <w:r w:rsidR="00161C56">
        <w:rPr>
          <w:rFonts w:ascii="Arial" w:hAnsi="Arial" w:cs="Arial"/>
          <w:szCs w:val="24"/>
        </w:rPr>
        <w:t xml:space="preserve">-Cătălina </w:t>
      </w:r>
      <w:r w:rsidRPr="00037AAA">
        <w:rPr>
          <w:rFonts w:ascii="Arial" w:hAnsi="Arial" w:cs="Arial"/>
          <w:szCs w:val="24"/>
        </w:rPr>
        <w:t>Ciurea</w:t>
      </w:r>
      <w:r>
        <w:rPr>
          <w:rFonts w:ascii="Arial" w:hAnsi="Arial" w:cs="Arial"/>
          <w:szCs w:val="24"/>
        </w:rPr>
        <w:t>, Baroul Brașov;</w:t>
      </w:r>
      <w:r w:rsidRPr="00037AAA">
        <w:rPr>
          <w:rFonts w:ascii="Arial" w:hAnsi="Arial" w:cs="Arial"/>
          <w:szCs w:val="24"/>
        </w:rPr>
        <w:t xml:space="preserve"> </w:t>
      </w:r>
    </w:p>
    <w:p w14:paraId="63AABE6B" w14:textId="77777777" w:rsidR="00037AAA" w:rsidRPr="00037AAA" w:rsidRDefault="00037AAA" w:rsidP="00037AAA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e).</w:t>
      </w:r>
      <w:r w:rsidR="00210A9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doamna avocat </w:t>
      </w:r>
      <w:r w:rsidRPr="00037AAA">
        <w:rPr>
          <w:rFonts w:ascii="Arial" w:hAnsi="Arial" w:cs="Arial"/>
          <w:szCs w:val="24"/>
        </w:rPr>
        <w:t>Silvana</w:t>
      </w:r>
      <w:r w:rsidR="00161C56">
        <w:rPr>
          <w:rFonts w:ascii="Arial" w:hAnsi="Arial" w:cs="Arial"/>
          <w:szCs w:val="24"/>
        </w:rPr>
        <w:t>-Mihaela</w:t>
      </w:r>
      <w:r w:rsidRPr="00037AAA">
        <w:rPr>
          <w:rFonts w:ascii="Arial" w:hAnsi="Arial" w:cs="Arial"/>
          <w:szCs w:val="24"/>
        </w:rPr>
        <w:t xml:space="preserve"> Racoviceanu</w:t>
      </w:r>
      <w:r>
        <w:rPr>
          <w:rFonts w:ascii="Arial" w:hAnsi="Arial" w:cs="Arial"/>
          <w:szCs w:val="24"/>
        </w:rPr>
        <w:t>, Baroul București</w:t>
      </w:r>
      <w:r w:rsidR="00065DFB">
        <w:rPr>
          <w:rFonts w:ascii="Arial" w:hAnsi="Arial" w:cs="Arial"/>
          <w:szCs w:val="24"/>
        </w:rPr>
        <w:t>;</w:t>
      </w:r>
    </w:p>
    <w:p w14:paraId="2857E890" w14:textId="77777777" w:rsidR="00210A9D" w:rsidRDefault="00037AAA" w:rsidP="00037AAA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f).</w:t>
      </w:r>
      <w:r w:rsidR="00210A9D">
        <w:rPr>
          <w:rFonts w:ascii="Arial" w:hAnsi="Arial" w:cs="Arial"/>
          <w:szCs w:val="24"/>
        </w:rPr>
        <w:t xml:space="preserve"> doamna avocat </w:t>
      </w:r>
      <w:r w:rsidR="00900C77" w:rsidRPr="00900C77">
        <w:rPr>
          <w:rFonts w:ascii="Arial" w:hAnsi="Arial" w:cs="Arial"/>
          <w:szCs w:val="24"/>
        </w:rPr>
        <w:t>Ancuța-Niculina Sandu</w:t>
      </w:r>
      <w:r w:rsidR="00210A9D">
        <w:rPr>
          <w:rFonts w:ascii="Arial" w:hAnsi="Arial" w:cs="Arial"/>
          <w:szCs w:val="24"/>
        </w:rPr>
        <w:t>, Decanul Baroului Neamț;</w:t>
      </w:r>
    </w:p>
    <w:p w14:paraId="4F81A00C" w14:textId="77777777" w:rsidR="00210A9D" w:rsidRDefault="00210A9D" w:rsidP="00210A9D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F0632B">
        <w:rPr>
          <w:rFonts w:ascii="Arial" w:hAnsi="Arial" w:cs="Arial"/>
          <w:szCs w:val="24"/>
        </w:rPr>
        <w:t>g)</w:t>
      </w:r>
      <w:r>
        <w:rPr>
          <w:rFonts w:ascii="Arial" w:hAnsi="Arial" w:cs="Arial"/>
          <w:szCs w:val="24"/>
        </w:rPr>
        <w:t>.</w:t>
      </w:r>
      <w:r w:rsidR="00F0632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doamna avocat </w:t>
      </w:r>
      <w:r w:rsidRPr="00037AAA">
        <w:rPr>
          <w:rFonts w:ascii="Arial" w:hAnsi="Arial" w:cs="Arial"/>
          <w:szCs w:val="24"/>
        </w:rPr>
        <w:t>Doina Stupariu</w:t>
      </w:r>
      <w:r>
        <w:rPr>
          <w:rFonts w:ascii="Arial" w:hAnsi="Arial" w:cs="Arial"/>
          <w:szCs w:val="24"/>
        </w:rPr>
        <w:t>, Baroul Iași;</w:t>
      </w:r>
    </w:p>
    <w:p w14:paraId="3AE5CDFE" w14:textId="77777777" w:rsidR="00210A9D" w:rsidRDefault="00210A9D" w:rsidP="00037AAA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h). domnul avocat Felix</w:t>
      </w:r>
      <w:r w:rsidR="00621A6F">
        <w:rPr>
          <w:rFonts w:ascii="Arial" w:hAnsi="Arial" w:cs="Arial"/>
          <w:szCs w:val="24"/>
        </w:rPr>
        <w:t>-Marian</w:t>
      </w:r>
      <w:r>
        <w:rPr>
          <w:rFonts w:ascii="Arial" w:hAnsi="Arial" w:cs="Arial"/>
          <w:szCs w:val="24"/>
        </w:rPr>
        <w:t xml:space="preserve"> Andrei, Decanul Baroului Tulcea; </w:t>
      </w:r>
    </w:p>
    <w:p w14:paraId="1D1C56C0" w14:textId="77777777" w:rsidR="00F0632B" w:rsidRDefault="00210A9D" w:rsidP="00037AAA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i). domnul avocat Cătălin</w:t>
      </w:r>
      <w:r w:rsidR="00621A6F">
        <w:rPr>
          <w:rFonts w:ascii="Arial" w:hAnsi="Arial" w:cs="Arial"/>
          <w:szCs w:val="24"/>
        </w:rPr>
        <w:t>-Gabriel</w:t>
      </w:r>
      <w:r>
        <w:rPr>
          <w:rFonts w:ascii="Arial" w:hAnsi="Arial" w:cs="Arial"/>
          <w:szCs w:val="24"/>
        </w:rPr>
        <w:t xml:space="preserve"> Filișan, Decanul Baroului Constanța</w:t>
      </w:r>
      <w:r w:rsidR="00DB3865">
        <w:rPr>
          <w:rFonts w:ascii="Arial" w:hAnsi="Arial" w:cs="Arial"/>
          <w:szCs w:val="24"/>
        </w:rPr>
        <w:t>;</w:t>
      </w:r>
    </w:p>
    <w:p w14:paraId="6338D68B" w14:textId="77777777" w:rsidR="00DB3865" w:rsidRDefault="00DB3865" w:rsidP="00DB3865">
      <w:pPr>
        <w:spacing w:line="276" w:lineRule="auto"/>
        <w:jc w:val="both"/>
        <w:rPr>
          <w:rFonts w:ascii="Arial" w:hAnsi="Arial" w:cs="Arial"/>
          <w:szCs w:val="24"/>
        </w:rPr>
      </w:pPr>
    </w:p>
    <w:p w14:paraId="168B87B0" w14:textId="77777777" w:rsidR="004F467E" w:rsidRDefault="00E5608C" w:rsidP="00037AAA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DB3865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) </w:t>
      </w:r>
      <w:r w:rsidR="004F467E">
        <w:rPr>
          <w:rFonts w:ascii="Arial" w:hAnsi="Arial" w:cs="Arial"/>
          <w:szCs w:val="24"/>
        </w:rPr>
        <w:t>Se ia act de propunerile de a face parte din grupul de lucru</w:t>
      </w:r>
      <w:r w:rsidR="00174152">
        <w:rPr>
          <w:rFonts w:ascii="Arial" w:hAnsi="Arial" w:cs="Arial"/>
          <w:szCs w:val="24"/>
        </w:rPr>
        <w:t xml:space="preserve"> înaintate de </w:t>
      </w:r>
      <w:r w:rsidR="004F467E">
        <w:rPr>
          <w:rFonts w:ascii="Arial" w:hAnsi="Arial" w:cs="Arial"/>
          <w:szCs w:val="24"/>
        </w:rPr>
        <w:t>Baroul București</w:t>
      </w:r>
      <w:r w:rsidR="00174152">
        <w:rPr>
          <w:rFonts w:ascii="Arial" w:hAnsi="Arial" w:cs="Arial"/>
          <w:szCs w:val="24"/>
        </w:rPr>
        <w:t xml:space="preserve">, </w:t>
      </w:r>
      <w:r w:rsidR="004F467E">
        <w:rPr>
          <w:rFonts w:ascii="Arial" w:hAnsi="Arial" w:cs="Arial"/>
          <w:szCs w:val="24"/>
        </w:rPr>
        <w:t xml:space="preserve">privind pe domnii avocați Ștefan Naubauer și </w:t>
      </w:r>
      <w:r w:rsidR="004F467E" w:rsidRPr="00DB3865">
        <w:rPr>
          <w:rFonts w:ascii="Arial" w:hAnsi="Arial" w:cs="Arial"/>
          <w:szCs w:val="24"/>
        </w:rPr>
        <w:t>Iosif Friedmann-Nicolescu</w:t>
      </w:r>
      <w:r w:rsidR="00174152">
        <w:rPr>
          <w:rFonts w:ascii="Arial" w:hAnsi="Arial" w:cs="Arial"/>
          <w:szCs w:val="24"/>
        </w:rPr>
        <w:t xml:space="preserve">, respectiv de </w:t>
      </w:r>
      <w:r w:rsidR="004F467E">
        <w:rPr>
          <w:rFonts w:ascii="Arial" w:hAnsi="Arial" w:cs="Arial"/>
          <w:szCs w:val="24"/>
        </w:rPr>
        <w:t>doamn</w:t>
      </w:r>
      <w:r w:rsidR="00174152">
        <w:rPr>
          <w:rFonts w:ascii="Arial" w:hAnsi="Arial" w:cs="Arial"/>
          <w:szCs w:val="24"/>
        </w:rPr>
        <w:t>a</w:t>
      </w:r>
      <w:r w:rsidR="004F467E">
        <w:rPr>
          <w:rFonts w:ascii="Arial" w:hAnsi="Arial" w:cs="Arial"/>
          <w:szCs w:val="24"/>
        </w:rPr>
        <w:t xml:space="preserve"> avocat Marian</w:t>
      </w:r>
      <w:r w:rsidR="00174152">
        <w:rPr>
          <w:rFonts w:ascii="Arial" w:hAnsi="Arial" w:cs="Arial"/>
          <w:szCs w:val="24"/>
        </w:rPr>
        <w:t>a</w:t>
      </w:r>
      <w:r w:rsidR="004F467E">
        <w:rPr>
          <w:rFonts w:ascii="Arial" w:hAnsi="Arial" w:cs="Arial"/>
          <w:szCs w:val="24"/>
        </w:rPr>
        <w:t xml:space="preserve"> Popovici, Baroul Neamț, precum și de renunțarea de a face parte din grupul de lucru a domnului avocat Ștefan Naubauer.</w:t>
      </w:r>
    </w:p>
    <w:p w14:paraId="01E121B7" w14:textId="77777777" w:rsidR="00037AAA" w:rsidRDefault="004F467E" w:rsidP="004F467E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(4) </w:t>
      </w:r>
      <w:r w:rsidR="00E5608C">
        <w:rPr>
          <w:rFonts w:ascii="Arial" w:hAnsi="Arial" w:cs="Arial"/>
          <w:szCs w:val="24"/>
        </w:rPr>
        <w:t>Grupul de lucru va avea ca obiectiv următoarele:</w:t>
      </w:r>
    </w:p>
    <w:p w14:paraId="34D7147E" w14:textId="77777777" w:rsidR="005D5358" w:rsidRPr="005D5358" w:rsidRDefault="005D5358" w:rsidP="005D5358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a). î</w:t>
      </w:r>
      <w:r w:rsidRPr="005D5358">
        <w:rPr>
          <w:rFonts w:ascii="Arial" w:hAnsi="Arial" w:cs="Arial"/>
          <w:szCs w:val="24"/>
        </w:rPr>
        <w:t>ndrumarea și facilitarea particip</w:t>
      </w:r>
      <w:r w:rsidRPr="005D5358">
        <w:rPr>
          <w:rFonts w:ascii="Arial" w:hAnsi="Arial" w:cs="Arial" w:hint="eastAsia"/>
          <w:szCs w:val="24"/>
        </w:rPr>
        <w:t>ă</w:t>
      </w:r>
      <w:r w:rsidRPr="005D5358">
        <w:rPr>
          <w:rFonts w:ascii="Arial" w:hAnsi="Arial" w:cs="Arial"/>
          <w:szCs w:val="24"/>
        </w:rPr>
        <w:t>rii active a avocaților la educația juridic</w:t>
      </w:r>
      <w:r w:rsidRPr="005D5358">
        <w:rPr>
          <w:rFonts w:ascii="Arial" w:hAnsi="Arial" w:cs="Arial" w:hint="eastAsia"/>
          <w:szCs w:val="24"/>
        </w:rPr>
        <w:t>ă</w:t>
      </w:r>
      <w:r w:rsidRPr="005D5358">
        <w:rPr>
          <w:rFonts w:ascii="Arial" w:hAnsi="Arial" w:cs="Arial"/>
          <w:szCs w:val="24"/>
        </w:rPr>
        <w:t xml:space="preserve"> formal</w:t>
      </w:r>
      <w:r w:rsidRPr="005D5358">
        <w:rPr>
          <w:rFonts w:ascii="Arial" w:hAnsi="Arial" w:cs="Arial" w:hint="eastAsia"/>
          <w:szCs w:val="24"/>
        </w:rPr>
        <w:t>ă</w:t>
      </w:r>
      <w:r w:rsidRPr="005D5358">
        <w:rPr>
          <w:rFonts w:ascii="Arial" w:hAnsi="Arial" w:cs="Arial"/>
          <w:szCs w:val="24"/>
        </w:rPr>
        <w:t xml:space="preserve"> și non-formal</w:t>
      </w:r>
      <w:r w:rsidRPr="005D5358">
        <w:rPr>
          <w:rFonts w:ascii="Arial" w:hAnsi="Arial" w:cs="Arial" w:hint="eastAsia"/>
          <w:szCs w:val="24"/>
        </w:rPr>
        <w:t>ă</w:t>
      </w:r>
      <w:r w:rsidRPr="005D5358">
        <w:rPr>
          <w:rFonts w:ascii="Arial" w:hAnsi="Arial" w:cs="Arial"/>
          <w:szCs w:val="24"/>
        </w:rPr>
        <w:t xml:space="preserve"> în gimnaziu și participarea la crearea programelor privind aceast</w:t>
      </w:r>
      <w:r w:rsidRPr="005D5358">
        <w:rPr>
          <w:rFonts w:ascii="Arial" w:hAnsi="Arial" w:cs="Arial" w:hint="eastAsia"/>
          <w:szCs w:val="24"/>
        </w:rPr>
        <w:t>ă</w:t>
      </w:r>
      <w:r w:rsidRPr="005D5358">
        <w:rPr>
          <w:rFonts w:ascii="Arial" w:hAnsi="Arial" w:cs="Arial"/>
          <w:szCs w:val="24"/>
        </w:rPr>
        <w:t xml:space="preserve"> materie; </w:t>
      </w:r>
    </w:p>
    <w:p w14:paraId="3A39E34B" w14:textId="77777777" w:rsidR="005D5358" w:rsidRPr="005D5358" w:rsidRDefault="005D5358" w:rsidP="005D5358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b). d</w:t>
      </w:r>
      <w:r w:rsidRPr="005D5358">
        <w:rPr>
          <w:rFonts w:ascii="Arial" w:hAnsi="Arial" w:cs="Arial"/>
          <w:szCs w:val="24"/>
        </w:rPr>
        <w:t>ezvoltarea dialogului cu Ministerul Educației Naționale pentru implicarea avocaților în programele de formare și acreditare a profesorilor care vor preda Educația juridic</w:t>
      </w:r>
      <w:r w:rsidRPr="005D5358">
        <w:rPr>
          <w:rFonts w:ascii="Arial" w:hAnsi="Arial" w:cs="Arial" w:hint="eastAsia"/>
          <w:szCs w:val="24"/>
        </w:rPr>
        <w:t>ă</w:t>
      </w:r>
      <w:r w:rsidRPr="005D5358">
        <w:rPr>
          <w:rFonts w:ascii="Arial" w:hAnsi="Arial" w:cs="Arial"/>
          <w:szCs w:val="24"/>
        </w:rPr>
        <w:t>;</w:t>
      </w:r>
    </w:p>
    <w:p w14:paraId="59D18398" w14:textId="77777777" w:rsidR="005D5358" w:rsidRPr="005D5358" w:rsidRDefault="005D5358" w:rsidP="005D5358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c). c</w:t>
      </w:r>
      <w:r w:rsidRPr="005D5358">
        <w:rPr>
          <w:rFonts w:ascii="Arial" w:hAnsi="Arial" w:cs="Arial"/>
          <w:szCs w:val="24"/>
        </w:rPr>
        <w:t>onsilierea avocaților care doresc s</w:t>
      </w:r>
      <w:r w:rsidRPr="005D5358">
        <w:rPr>
          <w:rFonts w:ascii="Arial" w:hAnsi="Arial" w:cs="Arial" w:hint="eastAsia"/>
          <w:szCs w:val="24"/>
        </w:rPr>
        <w:t>ă</w:t>
      </w:r>
      <w:r w:rsidRPr="005D5358">
        <w:rPr>
          <w:rFonts w:ascii="Arial" w:hAnsi="Arial" w:cs="Arial"/>
          <w:szCs w:val="24"/>
        </w:rPr>
        <w:t xml:space="preserve"> se implice atât în educația juridic</w:t>
      </w:r>
      <w:r w:rsidRPr="005D5358">
        <w:rPr>
          <w:rFonts w:ascii="Arial" w:hAnsi="Arial" w:cs="Arial" w:hint="eastAsia"/>
          <w:szCs w:val="24"/>
        </w:rPr>
        <w:t>ă</w:t>
      </w:r>
      <w:r w:rsidRPr="005D5358">
        <w:rPr>
          <w:rFonts w:ascii="Arial" w:hAnsi="Arial" w:cs="Arial"/>
          <w:szCs w:val="24"/>
        </w:rPr>
        <w:t xml:space="preserve"> formal</w:t>
      </w:r>
      <w:r w:rsidRPr="005D5358">
        <w:rPr>
          <w:rFonts w:ascii="Arial" w:hAnsi="Arial" w:cs="Arial" w:hint="eastAsia"/>
          <w:szCs w:val="24"/>
        </w:rPr>
        <w:t>ă</w:t>
      </w:r>
      <w:r w:rsidRPr="005D5358">
        <w:rPr>
          <w:rFonts w:ascii="Arial" w:hAnsi="Arial" w:cs="Arial"/>
          <w:szCs w:val="24"/>
        </w:rPr>
        <w:t>, cât și în cea non-formal</w:t>
      </w:r>
      <w:r w:rsidRPr="005D5358">
        <w:rPr>
          <w:rFonts w:ascii="Arial" w:hAnsi="Arial" w:cs="Arial" w:hint="eastAsia"/>
          <w:szCs w:val="24"/>
        </w:rPr>
        <w:t>ă</w:t>
      </w:r>
      <w:r w:rsidRPr="005D5358">
        <w:rPr>
          <w:rFonts w:ascii="Arial" w:hAnsi="Arial" w:cs="Arial"/>
          <w:szCs w:val="24"/>
        </w:rPr>
        <w:t>;</w:t>
      </w:r>
    </w:p>
    <w:p w14:paraId="55B245C5" w14:textId="77777777" w:rsidR="005D5358" w:rsidRPr="005D5358" w:rsidRDefault="005D5358" w:rsidP="005D5358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d). p</w:t>
      </w:r>
      <w:r w:rsidRPr="005D5358">
        <w:rPr>
          <w:rFonts w:ascii="Arial" w:hAnsi="Arial" w:cs="Arial"/>
          <w:szCs w:val="24"/>
        </w:rPr>
        <w:t>ropuneri de acțiuni specifice concrete pentru îndeplinirea scopului proiectului;</w:t>
      </w:r>
    </w:p>
    <w:p w14:paraId="332B7175" w14:textId="77777777" w:rsidR="005D5358" w:rsidRDefault="005D5358" w:rsidP="005D5358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e). d</w:t>
      </w:r>
      <w:r w:rsidRPr="005D5358">
        <w:rPr>
          <w:rFonts w:ascii="Arial" w:hAnsi="Arial" w:cs="Arial"/>
          <w:szCs w:val="24"/>
        </w:rPr>
        <w:t>ezvoltarea conceptului de responsabilitate social</w:t>
      </w:r>
      <w:r w:rsidRPr="005D5358">
        <w:rPr>
          <w:rFonts w:ascii="Arial" w:hAnsi="Arial" w:cs="Arial" w:hint="eastAsia"/>
          <w:szCs w:val="24"/>
        </w:rPr>
        <w:t>ă</w:t>
      </w:r>
      <w:r w:rsidRPr="005D5358">
        <w:rPr>
          <w:rFonts w:ascii="Arial" w:hAnsi="Arial" w:cs="Arial"/>
          <w:szCs w:val="24"/>
        </w:rPr>
        <w:t xml:space="preserve"> în domeniul educației și implicarea  avocaților în astfel de activit</w:t>
      </w:r>
      <w:r w:rsidRPr="005D5358">
        <w:rPr>
          <w:rFonts w:ascii="Arial" w:hAnsi="Arial" w:cs="Arial" w:hint="eastAsia"/>
          <w:szCs w:val="24"/>
        </w:rPr>
        <w:t>ă</w:t>
      </w:r>
      <w:r w:rsidRPr="005D5358">
        <w:rPr>
          <w:rFonts w:ascii="Arial" w:hAnsi="Arial" w:cs="Arial"/>
          <w:szCs w:val="24"/>
        </w:rPr>
        <w:t>ți.</w:t>
      </w:r>
    </w:p>
    <w:p w14:paraId="24AC55A5" w14:textId="1A494E84" w:rsidR="00E5608C" w:rsidRDefault="005D5358" w:rsidP="00037AAA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49534C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) Grupul de lucru va colabora cu Departamentul de Comunicare al UNBR și va avea ca asistent tehnic pe doamna Veronica Morecu</w:t>
      </w:r>
      <w:r w:rsidR="00065DFB">
        <w:rPr>
          <w:rFonts w:ascii="Arial" w:hAnsi="Arial" w:cs="Arial"/>
          <w:szCs w:val="24"/>
        </w:rPr>
        <w:t>ț</w:t>
      </w:r>
      <w:r>
        <w:rPr>
          <w:rFonts w:ascii="Arial" w:hAnsi="Arial" w:cs="Arial"/>
          <w:szCs w:val="24"/>
        </w:rPr>
        <w:t>, salariat UNBR.</w:t>
      </w:r>
    </w:p>
    <w:p w14:paraId="025E6101" w14:textId="5260CA69" w:rsidR="00E5608C" w:rsidRPr="00E5608C" w:rsidRDefault="005D5358" w:rsidP="005D5358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</w:t>
      </w:r>
      <w:r w:rsidR="0049534C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) G</w:t>
      </w:r>
      <w:r w:rsidR="00E5608C" w:rsidRPr="00E5608C">
        <w:rPr>
          <w:rFonts w:ascii="Arial" w:hAnsi="Arial" w:cs="Arial"/>
          <w:szCs w:val="24"/>
        </w:rPr>
        <w:t>rup</w:t>
      </w:r>
      <w:r>
        <w:rPr>
          <w:rFonts w:ascii="Arial" w:hAnsi="Arial" w:cs="Arial"/>
          <w:szCs w:val="24"/>
        </w:rPr>
        <w:t>ul</w:t>
      </w:r>
      <w:r w:rsidR="00E5608C" w:rsidRPr="00E5608C">
        <w:rPr>
          <w:rFonts w:ascii="Arial" w:hAnsi="Arial" w:cs="Arial"/>
          <w:szCs w:val="24"/>
        </w:rPr>
        <w:t xml:space="preserve"> de lucru va transmite un raport de activitate </w:t>
      </w:r>
      <w:r w:rsidR="00065DFB">
        <w:rPr>
          <w:rFonts w:ascii="Arial" w:hAnsi="Arial" w:cs="Arial"/>
          <w:szCs w:val="24"/>
        </w:rPr>
        <w:t xml:space="preserve">în termen util, pentru a putea fi comunicat </w:t>
      </w:r>
      <w:r w:rsidR="00E5608C" w:rsidRPr="00E5608C">
        <w:rPr>
          <w:rFonts w:ascii="Arial" w:hAnsi="Arial" w:cs="Arial"/>
          <w:szCs w:val="24"/>
        </w:rPr>
        <w:t xml:space="preserve">cu maxim 10 zile înainte de data </w:t>
      </w:r>
      <w:r w:rsidR="00065DFB">
        <w:rPr>
          <w:rFonts w:ascii="Arial" w:hAnsi="Arial" w:cs="Arial"/>
          <w:szCs w:val="24"/>
        </w:rPr>
        <w:t xml:space="preserve">ședinței </w:t>
      </w:r>
      <w:r w:rsidR="00E5608C" w:rsidRPr="00E5608C">
        <w:rPr>
          <w:rFonts w:ascii="Arial" w:hAnsi="Arial" w:cs="Arial"/>
          <w:szCs w:val="24"/>
        </w:rPr>
        <w:t>Consiliului UNBR urm</w:t>
      </w:r>
      <w:r w:rsidR="00E5608C" w:rsidRPr="00E5608C">
        <w:rPr>
          <w:rFonts w:ascii="Arial" w:hAnsi="Arial" w:cs="Arial" w:hint="eastAsia"/>
          <w:szCs w:val="24"/>
        </w:rPr>
        <w:t>ă</w:t>
      </w:r>
      <w:r w:rsidR="00E5608C" w:rsidRPr="00E5608C">
        <w:rPr>
          <w:rFonts w:ascii="Arial" w:hAnsi="Arial" w:cs="Arial"/>
          <w:szCs w:val="24"/>
        </w:rPr>
        <w:t>tor.</w:t>
      </w:r>
    </w:p>
    <w:p w14:paraId="79BC1078" w14:textId="0F42E8A6" w:rsidR="007B0690" w:rsidRDefault="00E5608C" w:rsidP="005D5358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 w:rsidRPr="00E5608C">
        <w:rPr>
          <w:rFonts w:ascii="Arial" w:hAnsi="Arial" w:cs="Arial"/>
          <w:szCs w:val="24"/>
        </w:rPr>
        <w:t>(</w:t>
      </w:r>
      <w:r w:rsidR="0049534C">
        <w:rPr>
          <w:rFonts w:ascii="Arial" w:hAnsi="Arial" w:cs="Arial"/>
          <w:szCs w:val="24"/>
        </w:rPr>
        <w:t>7</w:t>
      </w:r>
      <w:r w:rsidRPr="00E5608C">
        <w:rPr>
          <w:rFonts w:ascii="Arial" w:hAnsi="Arial" w:cs="Arial"/>
          <w:szCs w:val="24"/>
        </w:rPr>
        <w:t>) Bugetul necesar pentru desf</w:t>
      </w:r>
      <w:r w:rsidRPr="00E5608C">
        <w:rPr>
          <w:rFonts w:ascii="Arial" w:hAnsi="Arial" w:cs="Arial" w:hint="eastAsia"/>
          <w:szCs w:val="24"/>
        </w:rPr>
        <w:t>ă</w:t>
      </w:r>
      <w:r w:rsidRPr="00E5608C">
        <w:rPr>
          <w:rFonts w:ascii="Arial" w:hAnsi="Arial" w:cs="Arial"/>
          <w:szCs w:val="24"/>
        </w:rPr>
        <w:t>șurarea activit</w:t>
      </w:r>
      <w:r w:rsidRPr="00E5608C">
        <w:rPr>
          <w:rFonts w:ascii="Arial" w:hAnsi="Arial" w:cs="Arial" w:hint="eastAsia"/>
          <w:szCs w:val="24"/>
        </w:rPr>
        <w:t>ă</w:t>
      </w:r>
      <w:r w:rsidRPr="00E5608C">
        <w:rPr>
          <w:rFonts w:ascii="Arial" w:hAnsi="Arial" w:cs="Arial"/>
          <w:szCs w:val="24"/>
        </w:rPr>
        <w:t>ții grupului de lucru și remunerarea membrilor va fi aprobat ulterior.</w:t>
      </w:r>
    </w:p>
    <w:p w14:paraId="3ED0B2C6" w14:textId="77777777" w:rsidR="00E436E4" w:rsidRPr="00FF502A" w:rsidRDefault="00E436E4" w:rsidP="00054944">
      <w:pPr>
        <w:spacing w:line="276" w:lineRule="auto"/>
        <w:jc w:val="both"/>
        <w:rPr>
          <w:rFonts w:ascii="Arial" w:hAnsi="Arial" w:cs="Arial"/>
          <w:szCs w:val="24"/>
        </w:rPr>
      </w:pPr>
    </w:p>
    <w:p w14:paraId="676724FA" w14:textId="77777777" w:rsidR="00942854" w:rsidRDefault="007B0690" w:rsidP="00054944">
      <w:pPr>
        <w:spacing w:line="276" w:lineRule="auto"/>
        <w:ind w:firstLine="720"/>
        <w:jc w:val="both"/>
        <w:rPr>
          <w:rFonts w:ascii="Arial" w:hAnsi="Arial" w:cs="Arial"/>
          <w:bCs/>
          <w:iCs/>
          <w:szCs w:val="24"/>
          <w:lang w:eastAsia="ro-RO"/>
        </w:rPr>
      </w:pPr>
      <w:r w:rsidRPr="002836D3">
        <w:rPr>
          <w:rFonts w:ascii="Arial" w:hAnsi="Arial" w:cs="Arial"/>
          <w:b/>
          <w:bCs/>
          <w:szCs w:val="24"/>
        </w:rPr>
        <w:t xml:space="preserve">Art. </w:t>
      </w:r>
      <w:r w:rsidR="002836D3" w:rsidRPr="002836D3">
        <w:rPr>
          <w:rFonts w:ascii="Arial" w:hAnsi="Arial" w:cs="Arial"/>
          <w:b/>
          <w:bCs/>
          <w:szCs w:val="24"/>
        </w:rPr>
        <w:t>2</w:t>
      </w:r>
      <w:r w:rsidRPr="002836D3">
        <w:rPr>
          <w:rFonts w:ascii="Arial" w:hAnsi="Arial" w:cs="Arial"/>
          <w:b/>
          <w:bCs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2836D3" w:rsidRPr="00FF502A">
        <w:rPr>
          <w:rFonts w:ascii="Arial" w:hAnsi="Arial" w:cs="Arial"/>
          <w:b/>
          <w:szCs w:val="24"/>
        </w:rPr>
        <w:t>–</w:t>
      </w:r>
      <w:r>
        <w:rPr>
          <w:rFonts w:ascii="Arial" w:hAnsi="Arial" w:cs="Arial"/>
          <w:szCs w:val="24"/>
        </w:rPr>
        <w:t xml:space="preserve"> </w:t>
      </w:r>
      <w:r w:rsidR="008035B0">
        <w:rPr>
          <w:rFonts w:ascii="Arial" w:hAnsi="Arial" w:cs="Arial"/>
          <w:szCs w:val="24"/>
        </w:rPr>
        <w:t>Comisia se va întruni</w:t>
      </w:r>
      <w:r>
        <w:rPr>
          <w:rFonts w:ascii="Arial" w:hAnsi="Arial" w:cs="Arial"/>
          <w:szCs w:val="24"/>
        </w:rPr>
        <w:t>,</w:t>
      </w:r>
      <w:r w:rsidR="008035B0">
        <w:rPr>
          <w:rFonts w:ascii="Arial" w:hAnsi="Arial" w:cs="Arial"/>
          <w:szCs w:val="24"/>
        </w:rPr>
        <w:t xml:space="preserve"> periodic sau de câte ori este nevoie</w:t>
      </w:r>
      <w:r>
        <w:rPr>
          <w:rFonts w:ascii="Arial" w:hAnsi="Arial" w:cs="Arial"/>
          <w:szCs w:val="24"/>
        </w:rPr>
        <w:t>,</w:t>
      </w:r>
      <w:r w:rsidR="008035B0">
        <w:rPr>
          <w:rFonts w:ascii="Arial" w:hAnsi="Arial" w:cs="Arial"/>
          <w:szCs w:val="24"/>
        </w:rPr>
        <w:t xml:space="preserve"> pentru a  discuta aspecte</w:t>
      </w:r>
      <w:r w:rsidR="002836D3">
        <w:rPr>
          <w:rFonts w:ascii="Arial" w:hAnsi="Arial" w:cs="Arial"/>
          <w:szCs w:val="24"/>
        </w:rPr>
        <w:t>le</w:t>
      </w:r>
      <w:r w:rsidR="008035B0">
        <w:rPr>
          <w:rFonts w:ascii="Arial" w:hAnsi="Arial" w:cs="Arial"/>
          <w:szCs w:val="24"/>
        </w:rPr>
        <w:t xml:space="preserve"> privind implementarea Proiectului, va participa la discuțiile cu autoritățile statului cu atribuții în implementarea </w:t>
      </w:r>
      <w:r w:rsidR="005D5358">
        <w:rPr>
          <w:rFonts w:ascii="Arial" w:hAnsi="Arial" w:cs="Arial"/>
          <w:szCs w:val="24"/>
        </w:rPr>
        <w:t>acestuia</w:t>
      </w:r>
      <w:r>
        <w:rPr>
          <w:rFonts w:ascii="Arial" w:hAnsi="Arial" w:cs="Arial"/>
          <w:szCs w:val="24"/>
        </w:rPr>
        <w:t>, în bloc sau prin reprezentanții săi</w:t>
      </w:r>
      <w:r w:rsidR="008035B0">
        <w:rPr>
          <w:rFonts w:ascii="Arial" w:hAnsi="Arial" w:cs="Arial"/>
          <w:szCs w:val="24"/>
        </w:rPr>
        <w:t xml:space="preserve"> și va înainta propuneri </w:t>
      </w:r>
      <w:r>
        <w:rPr>
          <w:rFonts w:ascii="Arial" w:hAnsi="Arial" w:cs="Arial"/>
          <w:szCs w:val="24"/>
        </w:rPr>
        <w:t xml:space="preserve">corespunzătoare </w:t>
      </w:r>
      <w:r w:rsidR="008035B0">
        <w:rPr>
          <w:rFonts w:ascii="Arial" w:hAnsi="Arial" w:cs="Arial"/>
          <w:szCs w:val="24"/>
        </w:rPr>
        <w:t>către</w:t>
      </w:r>
      <w:r>
        <w:rPr>
          <w:rFonts w:ascii="Arial" w:hAnsi="Arial" w:cs="Arial"/>
          <w:szCs w:val="24"/>
        </w:rPr>
        <w:t xml:space="preserve"> organele centrale ale profesiei</w:t>
      </w:r>
      <w:r w:rsidR="00FF502A">
        <w:rPr>
          <w:rFonts w:ascii="Arial" w:hAnsi="Arial" w:cs="Arial"/>
          <w:bCs/>
          <w:iCs/>
          <w:szCs w:val="24"/>
          <w:lang w:eastAsia="ro-RO"/>
        </w:rPr>
        <w:t>.</w:t>
      </w:r>
    </w:p>
    <w:p w14:paraId="7B027CDC" w14:textId="77777777" w:rsidR="009B2743" w:rsidRDefault="009B2743" w:rsidP="00054944">
      <w:pPr>
        <w:spacing w:line="276" w:lineRule="auto"/>
        <w:ind w:firstLine="720"/>
        <w:jc w:val="both"/>
        <w:rPr>
          <w:rFonts w:ascii="Arial" w:hAnsi="Arial" w:cs="Arial"/>
          <w:bCs/>
          <w:iCs/>
          <w:szCs w:val="24"/>
          <w:lang w:eastAsia="ro-RO"/>
        </w:rPr>
      </w:pPr>
    </w:p>
    <w:p w14:paraId="297CEF4C" w14:textId="77777777" w:rsidR="009B2743" w:rsidRDefault="00065DFB" w:rsidP="00054944">
      <w:pPr>
        <w:spacing w:line="276" w:lineRule="auto"/>
        <w:ind w:firstLine="720"/>
        <w:jc w:val="both"/>
        <w:rPr>
          <w:rFonts w:ascii="Arial" w:hAnsi="Arial" w:cs="Arial"/>
          <w:bCs/>
          <w:szCs w:val="24"/>
        </w:rPr>
      </w:pPr>
      <w:r w:rsidRPr="00065DFB">
        <w:rPr>
          <w:rFonts w:ascii="Arial" w:hAnsi="Arial" w:cs="Arial"/>
          <w:b/>
          <w:iCs/>
          <w:szCs w:val="24"/>
          <w:lang w:eastAsia="ro-RO"/>
        </w:rPr>
        <w:t>Art. 3.</w:t>
      </w:r>
      <w:r>
        <w:rPr>
          <w:rFonts w:ascii="Arial" w:hAnsi="Arial" w:cs="Arial"/>
          <w:bCs/>
          <w:iCs/>
          <w:szCs w:val="24"/>
          <w:lang w:eastAsia="ro-RO"/>
        </w:rPr>
        <w:t xml:space="preserve"> </w:t>
      </w:r>
      <w:r w:rsidRPr="009B2743">
        <w:rPr>
          <w:rFonts w:ascii="Arial" w:hAnsi="Arial" w:cs="Arial"/>
          <w:bCs/>
          <w:szCs w:val="24"/>
        </w:rPr>
        <w:t xml:space="preserve">– </w:t>
      </w:r>
      <w:r w:rsidR="009B2743" w:rsidRPr="009B2743">
        <w:rPr>
          <w:rFonts w:ascii="Arial" w:hAnsi="Arial" w:cs="Arial"/>
          <w:bCs/>
          <w:szCs w:val="24"/>
        </w:rPr>
        <w:t>(1)</w:t>
      </w:r>
      <w:r w:rsidR="009B2743">
        <w:rPr>
          <w:rFonts w:ascii="Arial" w:hAnsi="Arial" w:cs="Arial"/>
          <w:b/>
          <w:szCs w:val="24"/>
        </w:rPr>
        <w:t xml:space="preserve"> </w:t>
      </w:r>
      <w:r w:rsidR="009B2743" w:rsidRPr="009B2743">
        <w:rPr>
          <w:rFonts w:ascii="Arial" w:hAnsi="Arial" w:cs="Arial"/>
          <w:bCs/>
          <w:szCs w:val="24"/>
        </w:rPr>
        <w:t>Pentru sprijinirea activității barourilor în implementarea Proiectului UNBR “Fii avocat în școala ta!”</w:t>
      </w:r>
      <w:r w:rsidR="009B2743">
        <w:rPr>
          <w:rFonts w:ascii="Arial" w:hAnsi="Arial" w:cs="Arial"/>
          <w:bCs/>
          <w:szCs w:val="24"/>
        </w:rPr>
        <w:t xml:space="preserve"> se aprobă virarea </w:t>
      </w:r>
      <w:r w:rsidR="00A8202F">
        <w:rPr>
          <w:rFonts w:ascii="Arial" w:hAnsi="Arial" w:cs="Arial"/>
          <w:bCs/>
          <w:szCs w:val="24"/>
        </w:rPr>
        <w:t xml:space="preserve">din bugetul UNBR </w:t>
      </w:r>
      <w:r w:rsidR="009B2743">
        <w:rPr>
          <w:rFonts w:ascii="Arial" w:hAnsi="Arial" w:cs="Arial"/>
          <w:bCs/>
          <w:szCs w:val="24"/>
        </w:rPr>
        <w:t>către fiecare</w:t>
      </w:r>
      <w:r w:rsidR="00A8202F">
        <w:rPr>
          <w:rFonts w:ascii="Arial" w:hAnsi="Arial" w:cs="Arial"/>
          <w:bCs/>
          <w:szCs w:val="24"/>
        </w:rPr>
        <w:t xml:space="preserve"> barou </w:t>
      </w:r>
      <w:r w:rsidR="009B2743">
        <w:rPr>
          <w:rFonts w:ascii="Arial" w:hAnsi="Arial" w:cs="Arial"/>
          <w:bCs/>
          <w:szCs w:val="24"/>
        </w:rPr>
        <w:t>a sumei de 1500 lei net</w:t>
      </w:r>
      <w:r w:rsidR="00916395">
        <w:rPr>
          <w:rFonts w:ascii="Arial" w:hAnsi="Arial" w:cs="Arial"/>
          <w:bCs/>
          <w:szCs w:val="24"/>
        </w:rPr>
        <w:t>,</w:t>
      </w:r>
      <w:r w:rsidR="009B2743">
        <w:rPr>
          <w:rFonts w:ascii="Arial" w:hAnsi="Arial" w:cs="Arial"/>
          <w:bCs/>
          <w:szCs w:val="24"/>
        </w:rPr>
        <w:t xml:space="preserve"> </w:t>
      </w:r>
      <w:r w:rsidR="00916395">
        <w:rPr>
          <w:rFonts w:ascii="Arial" w:hAnsi="Arial" w:cs="Arial"/>
          <w:bCs/>
          <w:szCs w:val="24"/>
        </w:rPr>
        <w:t xml:space="preserve">în vederea acoperirii </w:t>
      </w:r>
      <w:r w:rsidR="009B2743">
        <w:rPr>
          <w:rFonts w:ascii="Arial" w:hAnsi="Arial" w:cs="Arial"/>
          <w:bCs/>
          <w:szCs w:val="24"/>
        </w:rPr>
        <w:t>cheltuieli</w:t>
      </w:r>
      <w:r w:rsidR="00916395">
        <w:rPr>
          <w:rFonts w:ascii="Arial" w:hAnsi="Arial" w:cs="Arial"/>
          <w:bCs/>
          <w:szCs w:val="24"/>
        </w:rPr>
        <w:t>lor</w:t>
      </w:r>
      <w:r w:rsidR="009B2743">
        <w:rPr>
          <w:rFonts w:ascii="Arial" w:hAnsi="Arial" w:cs="Arial"/>
          <w:bCs/>
          <w:szCs w:val="24"/>
        </w:rPr>
        <w:t xml:space="preserve"> legate de promovarea acestui proiect.</w:t>
      </w:r>
    </w:p>
    <w:p w14:paraId="38F4F553" w14:textId="77777777" w:rsidR="009B2743" w:rsidRDefault="009B2743" w:rsidP="00054944">
      <w:pPr>
        <w:spacing w:line="276" w:lineRule="auto"/>
        <w:ind w:firstLine="72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(2) Baroul București poate primi o sumă suplimentară, în funcție de numărul avocaților și a școlilor înscrise în proiect. Suma se acordă </w:t>
      </w:r>
      <w:r w:rsidR="00A8202F">
        <w:rPr>
          <w:rFonts w:ascii="Arial" w:hAnsi="Arial" w:cs="Arial"/>
          <w:bCs/>
          <w:szCs w:val="24"/>
        </w:rPr>
        <w:t xml:space="preserve">de către Comisia Permanentă a UNBR, </w:t>
      </w:r>
      <w:r>
        <w:rPr>
          <w:rFonts w:ascii="Arial" w:hAnsi="Arial" w:cs="Arial"/>
          <w:bCs/>
          <w:szCs w:val="24"/>
        </w:rPr>
        <w:t>la cerere</w:t>
      </w:r>
      <w:r w:rsidR="00A8202F">
        <w:rPr>
          <w:rFonts w:ascii="Arial" w:hAnsi="Arial" w:cs="Arial"/>
          <w:bCs/>
          <w:szCs w:val="24"/>
        </w:rPr>
        <w:t>a baroului.</w:t>
      </w:r>
    </w:p>
    <w:p w14:paraId="28744C44" w14:textId="77777777" w:rsidR="004F467E" w:rsidRDefault="004F467E" w:rsidP="00054944">
      <w:pPr>
        <w:spacing w:line="276" w:lineRule="auto"/>
        <w:ind w:firstLine="720"/>
        <w:jc w:val="both"/>
        <w:rPr>
          <w:rFonts w:ascii="Arial" w:hAnsi="Arial" w:cs="Arial"/>
          <w:b/>
          <w:szCs w:val="24"/>
        </w:rPr>
      </w:pPr>
    </w:p>
    <w:p w14:paraId="109EA1C0" w14:textId="77777777" w:rsidR="009B2743" w:rsidRDefault="009B2743" w:rsidP="00054944">
      <w:pPr>
        <w:spacing w:line="276" w:lineRule="auto"/>
        <w:ind w:firstLine="720"/>
        <w:jc w:val="both"/>
        <w:rPr>
          <w:rFonts w:ascii="Arial" w:hAnsi="Arial" w:cs="Arial"/>
          <w:b/>
          <w:szCs w:val="24"/>
        </w:rPr>
      </w:pPr>
    </w:p>
    <w:p w14:paraId="30AFFC72" w14:textId="77777777" w:rsidR="00065DFB" w:rsidRDefault="009B2743" w:rsidP="00054944">
      <w:pPr>
        <w:spacing w:line="276" w:lineRule="auto"/>
        <w:ind w:firstLine="720"/>
        <w:jc w:val="both"/>
        <w:rPr>
          <w:rFonts w:ascii="Arial" w:hAnsi="Arial" w:cs="Arial"/>
          <w:bCs/>
          <w:iCs/>
          <w:szCs w:val="24"/>
          <w:lang w:eastAsia="ro-RO"/>
        </w:rPr>
      </w:pPr>
      <w:r w:rsidRPr="00065DFB">
        <w:rPr>
          <w:rFonts w:ascii="Arial" w:hAnsi="Arial" w:cs="Arial"/>
          <w:b/>
          <w:iCs/>
          <w:szCs w:val="24"/>
          <w:lang w:eastAsia="ro-RO"/>
        </w:rPr>
        <w:lastRenderedPageBreak/>
        <w:t xml:space="preserve">Art. </w:t>
      </w:r>
      <w:r>
        <w:rPr>
          <w:rFonts w:ascii="Arial" w:hAnsi="Arial" w:cs="Arial"/>
          <w:b/>
          <w:iCs/>
          <w:szCs w:val="24"/>
          <w:lang w:eastAsia="ro-RO"/>
        </w:rPr>
        <w:t>4</w:t>
      </w:r>
      <w:r w:rsidRPr="00065DFB">
        <w:rPr>
          <w:rFonts w:ascii="Arial" w:hAnsi="Arial" w:cs="Arial"/>
          <w:b/>
          <w:iCs/>
          <w:szCs w:val="24"/>
          <w:lang w:eastAsia="ro-RO"/>
        </w:rPr>
        <w:t>.</w:t>
      </w:r>
      <w:r>
        <w:rPr>
          <w:rFonts w:ascii="Arial" w:hAnsi="Arial" w:cs="Arial"/>
          <w:bCs/>
          <w:iCs/>
          <w:szCs w:val="24"/>
          <w:lang w:eastAsia="ro-RO"/>
        </w:rPr>
        <w:t xml:space="preserve"> </w:t>
      </w:r>
      <w:r w:rsidRPr="00FF502A">
        <w:rPr>
          <w:rFonts w:ascii="Arial" w:hAnsi="Arial" w:cs="Arial"/>
          <w:b/>
          <w:szCs w:val="24"/>
        </w:rPr>
        <w:t>–</w:t>
      </w:r>
      <w:r>
        <w:rPr>
          <w:rFonts w:ascii="Arial" w:hAnsi="Arial" w:cs="Arial"/>
          <w:b/>
          <w:szCs w:val="24"/>
        </w:rPr>
        <w:t xml:space="preserve"> </w:t>
      </w:r>
      <w:r w:rsidR="00065DFB" w:rsidRPr="00065DFB">
        <w:rPr>
          <w:rFonts w:ascii="Arial" w:hAnsi="Arial" w:cs="Arial"/>
          <w:bCs/>
          <w:szCs w:val="24"/>
        </w:rPr>
        <w:t xml:space="preserve">Prezenta </w:t>
      </w:r>
      <w:r w:rsidR="00DB3865">
        <w:rPr>
          <w:rFonts w:ascii="Arial" w:hAnsi="Arial" w:cs="Arial"/>
          <w:bCs/>
          <w:szCs w:val="24"/>
        </w:rPr>
        <w:t xml:space="preserve">hotărârea se comunică membrilor </w:t>
      </w:r>
      <w:r w:rsidR="00065DFB">
        <w:rPr>
          <w:rFonts w:ascii="Arial" w:hAnsi="Arial" w:cs="Arial"/>
          <w:bCs/>
          <w:szCs w:val="24"/>
        </w:rPr>
        <w:t>C</w:t>
      </w:r>
      <w:r w:rsidR="00065DFB" w:rsidRPr="00065DFB">
        <w:rPr>
          <w:rFonts w:ascii="Arial" w:hAnsi="Arial" w:cs="Arial"/>
          <w:bCs/>
          <w:szCs w:val="24"/>
        </w:rPr>
        <w:t>onsiliului UNBR</w:t>
      </w:r>
      <w:r w:rsidR="00DB3865">
        <w:rPr>
          <w:rFonts w:ascii="Arial" w:hAnsi="Arial" w:cs="Arial"/>
          <w:bCs/>
          <w:szCs w:val="24"/>
        </w:rPr>
        <w:t>, barourilor și se publică pe website-ul UNBR</w:t>
      </w:r>
      <w:r w:rsidR="00065DFB" w:rsidRPr="00065DFB">
        <w:rPr>
          <w:rFonts w:ascii="Arial" w:hAnsi="Arial" w:cs="Arial"/>
          <w:bCs/>
          <w:szCs w:val="24"/>
        </w:rPr>
        <w:t>.</w:t>
      </w:r>
    </w:p>
    <w:p w14:paraId="6A747601" w14:textId="77777777" w:rsidR="004B6AD3" w:rsidRDefault="004B6AD3" w:rsidP="00054944">
      <w:pPr>
        <w:spacing w:line="276" w:lineRule="auto"/>
        <w:jc w:val="both"/>
        <w:rPr>
          <w:rFonts w:ascii="Arial" w:hAnsi="Arial" w:cs="Arial"/>
          <w:szCs w:val="24"/>
        </w:rPr>
      </w:pPr>
    </w:p>
    <w:p w14:paraId="10E00757" w14:textId="77777777" w:rsidR="004F467E" w:rsidRDefault="004F467E" w:rsidP="00054944">
      <w:pPr>
        <w:spacing w:line="276" w:lineRule="auto"/>
        <w:jc w:val="both"/>
        <w:rPr>
          <w:rFonts w:ascii="Arial" w:hAnsi="Arial" w:cs="Arial"/>
          <w:szCs w:val="24"/>
        </w:rPr>
      </w:pPr>
    </w:p>
    <w:p w14:paraId="7D865B8F" w14:textId="77777777" w:rsidR="004F467E" w:rsidRDefault="004F467E" w:rsidP="00054944">
      <w:pPr>
        <w:spacing w:line="276" w:lineRule="auto"/>
        <w:jc w:val="both"/>
        <w:rPr>
          <w:rFonts w:ascii="Arial" w:hAnsi="Arial" w:cs="Arial"/>
          <w:szCs w:val="24"/>
        </w:rPr>
      </w:pPr>
    </w:p>
    <w:p w14:paraId="26737DAE" w14:textId="77777777" w:rsidR="00EB1D7C" w:rsidRPr="00E72B4B" w:rsidRDefault="00EB1D7C" w:rsidP="00EB1D7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5008052"/>
      <w:r w:rsidRPr="00E72B4B">
        <w:rPr>
          <w:rFonts w:ascii="Arial" w:hAnsi="Arial" w:cs="Arial"/>
          <w:b/>
          <w:sz w:val="28"/>
          <w:szCs w:val="28"/>
        </w:rPr>
        <w:t>C O N S I L I U L     U. N. B. R.</w:t>
      </w:r>
      <w:bookmarkEnd w:id="0"/>
    </w:p>
    <w:p w14:paraId="37A93216" w14:textId="77777777" w:rsidR="00BF798E" w:rsidRDefault="00BF798E" w:rsidP="00054944">
      <w:pPr>
        <w:spacing w:line="276" w:lineRule="auto"/>
        <w:jc w:val="both"/>
        <w:rPr>
          <w:rFonts w:ascii="Arial" w:hAnsi="Arial" w:cs="Arial"/>
          <w:szCs w:val="24"/>
        </w:rPr>
      </w:pPr>
    </w:p>
    <w:sectPr w:rsidR="00BF798E" w:rsidSect="00065DFB">
      <w:footerReference w:type="even" r:id="rId7"/>
      <w:footerReference w:type="default" r:id="rId8"/>
      <w:pgSz w:w="11909" w:h="16834" w:code="9"/>
      <w:pgMar w:top="851" w:right="1136" w:bottom="284" w:left="1418" w:header="0" w:footer="4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243C" w14:textId="77777777" w:rsidR="007A2B9C" w:rsidRDefault="007A2B9C">
      <w:r>
        <w:separator/>
      </w:r>
    </w:p>
  </w:endnote>
  <w:endnote w:type="continuationSeparator" w:id="0">
    <w:p w14:paraId="5BFA5DAF" w14:textId="77777777" w:rsidR="007A2B9C" w:rsidRDefault="007A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4CDA" w14:textId="77777777" w:rsidR="003A4FBA" w:rsidRDefault="003A4FBA" w:rsidP="001A70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8D210A" w14:textId="77777777" w:rsidR="003A4FBA" w:rsidRDefault="003A4F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21F0" w14:textId="77777777" w:rsidR="00065DFB" w:rsidRDefault="00065DF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632B">
      <w:rPr>
        <w:noProof/>
      </w:rPr>
      <w:t>2</w:t>
    </w:r>
    <w:r>
      <w:rPr>
        <w:noProof/>
      </w:rPr>
      <w:fldChar w:fldCharType="end"/>
    </w:r>
  </w:p>
  <w:p w14:paraId="6E28E8C6" w14:textId="77777777" w:rsidR="003A4FBA" w:rsidRDefault="003A4FBA" w:rsidP="00CF7E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080B" w14:textId="77777777" w:rsidR="007A2B9C" w:rsidRDefault="007A2B9C">
      <w:r>
        <w:separator/>
      </w:r>
    </w:p>
  </w:footnote>
  <w:footnote w:type="continuationSeparator" w:id="0">
    <w:p w14:paraId="29169914" w14:textId="77777777" w:rsidR="007A2B9C" w:rsidRDefault="007A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186"/>
    <w:multiLevelType w:val="hybridMultilevel"/>
    <w:tmpl w:val="7AEE849C"/>
    <w:lvl w:ilvl="0" w:tplc="0FC8D0F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B2F2B"/>
    <w:multiLevelType w:val="hybridMultilevel"/>
    <w:tmpl w:val="6BE4AB74"/>
    <w:lvl w:ilvl="0" w:tplc="0FC8D0F2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64A418F"/>
    <w:multiLevelType w:val="hybridMultilevel"/>
    <w:tmpl w:val="A99C4C9A"/>
    <w:lvl w:ilvl="0" w:tplc="D8608D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E40923"/>
    <w:multiLevelType w:val="hybridMultilevel"/>
    <w:tmpl w:val="69A6602A"/>
    <w:lvl w:ilvl="0" w:tplc="80C0D6A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6615A0"/>
    <w:multiLevelType w:val="hybridMultilevel"/>
    <w:tmpl w:val="0290A882"/>
    <w:lvl w:ilvl="0" w:tplc="80826EB8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C658D5"/>
    <w:multiLevelType w:val="hybridMultilevel"/>
    <w:tmpl w:val="7F241836"/>
    <w:lvl w:ilvl="0" w:tplc="8AE636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FE4A80"/>
    <w:multiLevelType w:val="hybridMultilevel"/>
    <w:tmpl w:val="ABC8BFDC"/>
    <w:lvl w:ilvl="0" w:tplc="0FC8D0F2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496485"/>
    <w:multiLevelType w:val="hybridMultilevel"/>
    <w:tmpl w:val="1A0A3474"/>
    <w:lvl w:ilvl="0" w:tplc="81143E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744566"/>
    <w:multiLevelType w:val="hybridMultilevel"/>
    <w:tmpl w:val="BF8E4368"/>
    <w:lvl w:ilvl="0" w:tplc="6B564E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3C6EF0"/>
    <w:multiLevelType w:val="hybridMultilevel"/>
    <w:tmpl w:val="C6D689B4"/>
    <w:lvl w:ilvl="0" w:tplc="27FE8F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E60465"/>
    <w:multiLevelType w:val="hybridMultilevel"/>
    <w:tmpl w:val="71BA69F2"/>
    <w:lvl w:ilvl="0" w:tplc="0FC8D0F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811463"/>
    <w:multiLevelType w:val="hybridMultilevel"/>
    <w:tmpl w:val="E3ACBD3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A6ACC7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8CE39AA"/>
    <w:multiLevelType w:val="hybridMultilevel"/>
    <w:tmpl w:val="EE969A28"/>
    <w:lvl w:ilvl="0" w:tplc="0FC8D0F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11"/>
  </w:num>
  <w:num w:numId="8">
    <w:abstractNumId w:val="0"/>
  </w:num>
  <w:num w:numId="9">
    <w:abstractNumId w:val="12"/>
  </w:num>
  <w:num w:numId="10">
    <w:abstractNumId w:val="6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6F9"/>
    <w:rsid w:val="00002210"/>
    <w:rsid w:val="00002459"/>
    <w:rsid w:val="0000498C"/>
    <w:rsid w:val="000066DF"/>
    <w:rsid w:val="00012BBA"/>
    <w:rsid w:val="0001796F"/>
    <w:rsid w:val="000279CF"/>
    <w:rsid w:val="0003526C"/>
    <w:rsid w:val="00037AAA"/>
    <w:rsid w:val="0004129F"/>
    <w:rsid w:val="00042C78"/>
    <w:rsid w:val="00043656"/>
    <w:rsid w:val="00046148"/>
    <w:rsid w:val="00051990"/>
    <w:rsid w:val="000528B3"/>
    <w:rsid w:val="00054944"/>
    <w:rsid w:val="0005516A"/>
    <w:rsid w:val="00061F3F"/>
    <w:rsid w:val="00065DFB"/>
    <w:rsid w:val="00066474"/>
    <w:rsid w:val="00072F80"/>
    <w:rsid w:val="00074287"/>
    <w:rsid w:val="000749B4"/>
    <w:rsid w:val="00084333"/>
    <w:rsid w:val="0008615B"/>
    <w:rsid w:val="00090BF4"/>
    <w:rsid w:val="000927E7"/>
    <w:rsid w:val="00094170"/>
    <w:rsid w:val="00095E89"/>
    <w:rsid w:val="00096110"/>
    <w:rsid w:val="000A5DC0"/>
    <w:rsid w:val="000B07C1"/>
    <w:rsid w:val="000B27F1"/>
    <w:rsid w:val="000B33D5"/>
    <w:rsid w:val="000B53DE"/>
    <w:rsid w:val="000B599E"/>
    <w:rsid w:val="000C3DCB"/>
    <w:rsid w:val="000C5412"/>
    <w:rsid w:val="000C5753"/>
    <w:rsid w:val="000C637C"/>
    <w:rsid w:val="000D0D3A"/>
    <w:rsid w:val="000D67C1"/>
    <w:rsid w:val="000E0776"/>
    <w:rsid w:val="000E09B8"/>
    <w:rsid w:val="000E11DC"/>
    <w:rsid w:val="000E3FAB"/>
    <w:rsid w:val="000E6CA6"/>
    <w:rsid w:val="000F149A"/>
    <w:rsid w:val="000F1612"/>
    <w:rsid w:val="000F465A"/>
    <w:rsid w:val="000F61B2"/>
    <w:rsid w:val="000F76EB"/>
    <w:rsid w:val="00101A50"/>
    <w:rsid w:val="00112CC4"/>
    <w:rsid w:val="00112EA2"/>
    <w:rsid w:val="00123792"/>
    <w:rsid w:val="001420D7"/>
    <w:rsid w:val="00152601"/>
    <w:rsid w:val="00153900"/>
    <w:rsid w:val="0015435A"/>
    <w:rsid w:val="001564CD"/>
    <w:rsid w:val="00161C56"/>
    <w:rsid w:val="0016518B"/>
    <w:rsid w:val="00166066"/>
    <w:rsid w:val="00166130"/>
    <w:rsid w:val="00166715"/>
    <w:rsid w:val="001704D9"/>
    <w:rsid w:val="00173256"/>
    <w:rsid w:val="00174152"/>
    <w:rsid w:val="00175732"/>
    <w:rsid w:val="00185748"/>
    <w:rsid w:val="00187490"/>
    <w:rsid w:val="00190151"/>
    <w:rsid w:val="00193DB5"/>
    <w:rsid w:val="0019642F"/>
    <w:rsid w:val="001A039C"/>
    <w:rsid w:val="001A70F4"/>
    <w:rsid w:val="001B4077"/>
    <w:rsid w:val="001B5774"/>
    <w:rsid w:val="001B63F8"/>
    <w:rsid w:val="001D3091"/>
    <w:rsid w:val="001D7EFB"/>
    <w:rsid w:val="001E3E75"/>
    <w:rsid w:val="001E6A28"/>
    <w:rsid w:val="001F23AF"/>
    <w:rsid w:val="001F28DB"/>
    <w:rsid w:val="001F5429"/>
    <w:rsid w:val="001F6683"/>
    <w:rsid w:val="001F793A"/>
    <w:rsid w:val="002006B4"/>
    <w:rsid w:val="00206EC3"/>
    <w:rsid w:val="00210A9D"/>
    <w:rsid w:val="00212690"/>
    <w:rsid w:val="002150FB"/>
    <w:rsid w:val="00217E42"/>
    <w:rsid w:val="00223B31"/>
    <w:rsid w:val="0024402A"/>
    <w:rsid w:val="002541A5"/>
    <w:rsid w:val="002546CE"/>
    <w:rsid w:val="002619C9"/>
    <w:rsid w:val="00262B87"/>
    <w:rsid w:val="0027067A"/>
    <w:rsid w:val="00272A79"/>
    <w:rsid w:val="00273586"/>
    <w:rsid w:val="00282B19"/>
    <w:rsid w:val="002836D3"/>
    <w:rsid w:val="00294215"/>
    <w:rsid w:val="002958C3"/>
    <w:rsid w:val="00297DBB"/>
    <w:rsid w:val="002C2B12"/>
    <w:rsid w:val="002C57C5"/>
    <w:rsid w:val="002C66F2"/>
    <w:rsid w:val="002D0AEA"/>
    <w:rsid w:val="002D0C19"/>
    <w:rsid w:val="002D196E"/>
    <w:rsid w:val="002D6048"/>
    <w:rsid w:val="002E193A"/>
    <w:rsid w:val="002E1B08"/>
    <w:rsid w:val="002E4FD6"/>
    <w:rsid w:val="00302868"/>
    <w:rsid w:val="0030385C"/>
    <w:rsid w:val="003041AB"/>
    <w:rsid w:val="003115D1"/>
    <w:rsid w:val="00311B0E"/>
    <w:rsid w:val="003128C2"/>
    <w:rsid w:val="00320F75"/>
    <w:rsid w:val="003260D1"/>
    <w:rsid w:val="003319CB"/>
    <w:rsid w:val="00337579"/>
    <w:rsid w:val="00337912"/>
    <w:rsid w:val="003428BC"/>
    <w:rsid w:val="0034636F"/>
    <w:rsid w:val="00346837"/>
    <w:rsid w:val="003558CB"/>
    <w:rsid w:val="00365B86"/>
    <w:rsid w:val="0037633C"/>
    <w:rsid w:val="003803EF"/>
    <w:rsid w:val="00380436"/>
    <w:rsid w:val="003820F5"/>
    <w:rsid w:val="0038624C"/>
    <w:rsid w:val="00393A80"/>
    <w:rsid w:val="00394893"/>
    <w:rsid w:val="00397C1C"/>
    <w:rsid w:val="003A4FBA"/>
    <w:rsid w:val="003A64A7"/>
    <w:rsid w:val="003B2AE3"/>
    <w:rsid w:val="003B43E3"/>
    <w:rsid w:val="003B6D6A"/>
    <w:rsid w:val="003B7AA9"/>
    <w:rsid w:val="003C0B45"/>
    <w:rsid w:val="003C62CE"/>
    <w:rsid w:val="003C64E0"/>
    <w:rsid w:val="003C7D65"/>
    <w:rsid w:val="003D3D3E"/>
    <w:rsid w:val="003D7F5A"/>
    <w:rsid w:val="003E08F4"/>
    <w:rsid w:val="003F124D"/>
    <w:rsid w:val="0041433E"/>
    <w:rsid w:val="00415CD2"/>
    <w:rsid w:val="00417822"/>
    <w:rsid w:val="00426F47"/>
    <w:rsid w:val="0043691B"/>
    <w:rsid w:val="0045210E"/>
    <w:rsid w:val="00452CC6"/>
    <w:rsid w:val="004564D9"/>
    <w:rsid w:val="00471A1F"/>
    <w:rsid w:val="004763DF"/>
    <w:rsid w:val="00477017"/>
    <w:rsid w:val="0048482A"/>
    <w:rsid w:val="0049534C"/>
    <w:rsid w:val="004972B9"/>
    <w:rsid w:val="004A0262"/>
    <w:rsid w:val="004A423A"/>
    <w:rsid w:val="004B0330"/>
    <w:rsid w:val="004B36FD"/>
    <w:rsid w:val="004B4585"/>
    <w:rsid w:val="004B4633"/>
    <w:rsid w:val="004B6AD3"/>
    <w:rsid w:val="004B75D4"/>
    <w:rsid w:val="004C0C12"/>
    <w:rsid w:val="004C1280"/>
    <w:rsid w:val="004C7EC4"/>
    <w:rsid w:val="004D1249"/>
    <w:rsid w:val="004D1895"/>
    <w:rsid w:val="004E52C5"/>
    <w:rsid w:val="004F2005"/>
    <w:rsid w:val="004F3B3B"/>
    <w:rsid w:val="004F467E"/>
    <w:rsid w:val="004F6994"/>
    <w:rsid w:val="00501921"/>
    <w:rsid w:val="0050197A"/>
    <w:rsid w:val="00505587"/>
    <w:rsid w:val="00507833"/>
    <w:rsid w:val="00510677"/>
    <w:rsid w:val="00514137"/>
    <w:rsid w:val="00516A9D"/>
    <w:rsid w:val="00520DD1"/>
    <w:rsid w:val="00521136"/>
    <w:rsid w:val="005238B2"/>
    <w:rsid w:val="00530711"/>
    <w:rsid w:val="00531AD2"/>
    <w:rsid w:val="005472A4"/>
    <w:rsid w:val="00554472"/>
    <w:rsid w:val="00557DDF"/>
    <w:rsid w:val="00560254"/>
    <w:rsid w:val="005611B1"/>
    <w:rsid w:val="00563E6A"/>
    <w:rsid w:val="00566DE3"/>
    <w:rsid w:val="00567987"/>
    <w:rsid w:val="00571116"/>
    <w:rsid w:val="0057666D"/>
    <w:rsid w:val="005906D0"/>
    <w:rsid w:val="00593796"/>
    <w:rsid w:val="00594BB1"/>
    <w:rsid w:val="0059583F"/>
    <w:rsid w:val="005A12C6"/>
    <w:rsid w:val="005A7925"/>
    <w:rsid w:val="005B05BE"/>
    <w:rsid w:val="005B0CCC"/>
    <w:rsid w:val="005B0F06"/>
    <w:rsid w:val="005B636D"/>
    <w:rsid w:val="005B73E8"/>
    <w:rsid w:val="005C01F5"/>
    <w:rsid w:val="005C6103"/>
    <w:rsid w:val="005D5358"/>
    <w:rsid w:val="005D583A"/>
    <w:rsid w:val="005F3503"/>
    <w:rsid w:val="005F484D"/>
    <w:rsid w:val="005F53F2"/>
    <w:rsid w:val="006048D2"/>
    <w:rsid w:val="00607600"/>
    <w:rsid w:val="00621A6F"/>
    <w:rsid w:val="00621C47"/>
    <w:rsid w:val="00623526"/>
    <w:rsid w:val="00623F37"/>
    <w:rsid w:val="0063304F"/>
    <w:rsid w:val="00650F95"/>
    <w:rsid w:val="0065553B"/>
    <w:rsid w:val="0065723E"/>
    <w:rsid w:val="00657C75"/>
    <w:rsid w:val="00670EB3"/>
    <w:rsid w:val="006716BE"/>
    <w:rsid w:val="00673460"/>
    <w:rsid w:val="00681CAD"/>
    <w:rsid w:val="0068454E"/>
    <w:rsid w:val="006947DE"/>
    <w:rsid w:val="006958B2"/>
    <w:rsid w:val="00696F21"/>
    <w:rsid w:val="006A68F6"/>
    <w:rsid w:val="006A772E"/>
    <w:rsid w:val="006A774F"/>
    <w:rsid w:val="006A7DD4"/>
    <w:rsid w:val="006A7EA6"/>
    <w:rsid w:val="006A7F6C"/>
    <w:rsid w:val="006B17BD"/>
    <w:rsid w:val="006B2C3C"/>
    <w:rsid w:val="006B4E61"/>
    <w:rsid w:val="006C2CDF"/>
    <w:rsid w:val="006C2F71"/>
    <w:rsid w:val="006C75CF"/>
    <w:rsid w:val="006D45ED"/>
    <w:rsid w:val="006E3630"/>
    <w:rsid w:val="006F0BD3"/>
    <w:rsid w:val="006F3CA2"/>
    <w:rsid w:val="006F5301"/>
    <w:rsid w:val="006F5FD7"/>
    <w:rsid w:val="006F6817"/>
    <w:rsid w:val="006F7FE7"/>
    <w:rsid w:val="00703371"/>
    <w:rsid w:val="00710F01"/>
    <w:rsid w:val="00712EAE"/>
    <w:rsid w:val="00725120"/>
    <w:rsid w:val="007255A8"/>
    <w:rsid w:val="007257BA"/>
    <w:rsid w:val="00733E43"/>
    <w:rsid w:val="0073511C"/>
    <w:rsid w:val="007352B5"/>
    <w:rsid w:val="007427D1"/>
    <w:rsid w:val="00756B81"/>
    <w:rsid w:val="0076105B"/>
    <w:rsid w:val="00764C8E"/>
    <w:rsid w:val="0076754E"/>
    <w:rsid w:val="00773521"/>
    <w:rsid w:val="00774AD2"/>
    <w:rsid w:val="00775536"/>
    <w:rsid w:val="0077733A"/>
    <w:rsid w:val="00781849"/>
    <w:rsid w:val="00781A9B"/>
    <w:rsid w:val="00785AE5"/>
    <w:rsid w:val="007919F0"/>
    <w:rsid w:val="00791EF0"/>
    <w:rsid w:val="007A2B9C"/>
    <w:rsid w:val="007A5E65"/>
    <w:rsid w:val="007B0690"/>
    <w:rsid w:val="007B199E"/>
    <w:rsid w:val="007B2732"/>
    <w:rsid w:val="007B6D9F"/>
    <w:rsid w:val="007B6F13"/>
    <w:rsid w:val="007B7DBE"/>
    <w:rsid w:val="007D0501"/>
    <w:rsid w:val="007D2CAA"/>
    <w:rsid w:val="007D4453"/>
    <w:rsid w:val="007E0C92"/>
    <w:rsid w:val="007F106C"/>
    <w:rsid w:val="007F4039"/>
    <w:rsid w:val="008035B0"/>
    <w:rsid w:val="00803951"/>
    <w:rsid w:val="0081025E"/>
    <w:rsid w:val="00813926"/>
    <w:rsid w:val="00813ECC"/>
    <w:rsid w:val="0082280D"/>
    <w:rsid w:val="00831190"/>
    <w:rsid w:val="00836719"/>
    <w:rsid w:val="00840908"/>
    <w:rsid w:val="008418C7"/>
    <w:rsid w:val="00847A72"/>
    <w:rsid w:val="00874333"/>
    <w:rsid w:val="00882684"/>
    <w:rsid w:val="00884144"/>
    <w:rsid w:val="00884568"/>
    <w:rsid w:val="008916B2"/>
    <w:rsid w:val="008968C7"/>
    <w:rsid w:val="008A01C8"/>
    <w:rsid w:val="008A06F9"/>
    <w:rsid w:val="008A0E52"/>
    <w:rsid w:val="008A5C14"/>
    <w:rsid w:val="008B2414"/>
    <w:rsid w:val="008B60A7"/>
    <w:rsid w:val="008B7067"/>
    <w:rsid w:val="008C1AAE"/>
    <w:rsid w:val="008C25A0"/>
    <w:rsid w:val="008C317A"/>
    <w:rsid w:val="008C4CCB"/>
    <w:rsid w:val="008D55BA"/>
    <w:rsid w:val="008E442F"/>
    <w:rsid w:val="008F3C4C"/>
    <w:rsid w:val="008F52E0"/>
    <w:rsid w:val="008F53B0"/>
    <w:rsid w:val="00900C77"/>
    <w:rsid w:val="00903BB2"/>
    <w:rsid w:val="00905660"/>
    <w:rsid w:val="009102CA"/>
    <w:rsid w:val="009145AD"/>
    <w:rsid w:val="00916395"/>
    <w:rsid w:val="0091669C"/>
    <w:rsid w:val="00921D6E"/>
    <w:rsid w:val="009240AB"/>
    <w:rsid w:val="00925862"/>
    <w:rsid w:val="00926907"/>
    <w:rsid w:val="009326F6"/>
    <w:rsid w:val="00941AD5"/>
    <w:rsid w:val="00941DF8"/>
    <w:rsid w:val="00942854"/>
    <w:rsid w:val="009463C4"/>
    <w:rsid w:val="00951DCD"/>
    <w:rsid w:val="0096032E"/>
    <w:rsid w:val="00961280"/>
    <w:rsid w:val="00965424"/>
    <w:rsid w:val="00977864"/>
    <w:rsid w:val="009841B1"/>
    <w:rsid w:val="00984AC6"/>
    <w:rsid w:val="00985F96"/>
    <w:rsid w:val="0098725C"/>
    <w:rsid w:val="00990A66"/>
    <w:rsid w:val="00992160"/>
    <w:rsid w:val="00994154"/>
    <w:rsid w:val="00996C2F"/>
    <w:rsid w:val="009A0718"/>
    <w:rsid w:val="009A1EF3"/>
    <w:rsid w:val="009A5D52"/>
    <w:rsid w:val="009B2743"/>
    <w:rsid w:val="009B2D8A"/>
    <w:rsid w:val="009B677F"/>
    <w:rsid w:val="009C00EE"/>
    <w:rsid w:val="009C0E08"/>
    <w:rsid w:val="009C42FC"/>
    <w:rsid w:val="009D235A"/>
    <w:rsid w:val="009D436E"/>
    <w:rsid w:val="009D5E2A"/>
    <w:rsid w:val="009F08A4"/>
    <w:rsid w:val="009F288C"/>
    <w:rsid w:val="009F5D1D"/>
    <w:rsid w:val="00A00B01"/>
    <w:rsid w:val="00A00EA7"/>
    <w:rsid w:val="00A01342"/>
    <w:rsid w:val="00A05086"/>
    <w:rsid w:val="00A0759D"/>
    <w:rsid w:val="00A1127D"/>
    <w:rsid w:val="00A11D6E"/>
    <w:rsid w:val="00A16C96"/>
    <w:rsid w:val="00A17672"/>
    <w:rsid w:val="00A17A54"/>
    <w:rsid w:val="00A22799"/>
    <w:rsid w:val="00A24D34"/>
    <w:rsid w:val="00A27ACA"/>
    <w:rsid w:val="00A3087A"/>
    <w:rsid w:val="00A346DA"/>
    <w:rsid w:val="00A34E61"/>
    <w:rsid w:val="00A34E7F"/>
    <w:rsid w:val="00A40157"/>
    <w:rsid w:val="00A50E9D"/>
    <w:rsid w:val="00A7241F"/>
    <w:rsid w:val="00A74A8A"/>
    <w:rsid w:val="00A76752"/>
    <w:rsid w:val="00A8103F"/>
    <w:rsid w:val="00A81503"/>
    <w:rsid w:val="00A8202F"/>
    <w:rsid w:val="00A83F9C"/>
    <w:rsid w:val="00A85009"/>
    <w:rsid w:val="00A86B35"/>
    <w:rsid w:val="00A94B42"/>
    <w:rsid w:val="00AA3B43"/>
    <w:rsid w:val="00AC6810"/>
    <w:rsid w:val="00AD1B07"/>
    <w:rsid w:val="00AD4924"/>
    <w:rsid w:val="00AF1CF5"/>
    <w:rsid w:val="00AF2272"/>
    <w:rsid w:val="00AF2296"/>
    <w:rsid w:val="00AF3342"/>
    <w:rsid w:val="00AF5067"/>
    <w:rsid w:val="00AF5F92"/>
    <w:rsid w:val="00B012E4"/>
    <w:rsid w:val="00B019F0"/>
    <w:rsid w:val="00B078E2"/>
    <w:rsid w:val="00B136A2"/>
    <w:rsid w:val="00B22E2C"/>
    <w:rsid w:val="00B25C87"/>
    <w:rsid w:val="00B260A2"/>
    <w:rsid w:val="00B30447"/>
    <w:rsid w:val="00B432BD"/>
    <w:rsid w:val="00B45725"/>
    <w:rsid w:val="00B5109B"/>
    <w:rsid w:val="00B53051"/>
    <w:rsid w:val="00B56C96"/>
    <w:rsid w:val="00B602BE"/>
    <w:rsid w:val="00B650E6"/>
    <w:rsid w:val="00B65A3F"/>
    <w:rsid w:val="00B67710"/>
    <w:rsid w:val="00B80466"/>
    <w:rsid w:val="00B85EA6"/>
    <w:rsid w:val="00B94BE8"/>
    <w:rsid w:val="00B94C23"/>
    <w:rsid w:val="00B959F9"/>
    <w:rsid w:val="00BA5655"/>
    <w:rsid w:val="00BA7E26"/>
    <w:rsid w:val="00BB4097"/>
    <w:rsid w:val="00BB4A58"/>
    <w:rsid w:val="00BC1CDF"/>
    <w:rsid w:val="00BC234F"/>
    <w:rsid w:val="00BC7817"/>
    <w:rsid w:val="00BD2204"/>
    <w:rsid w:val="00BE31F5"/>
    <w:rsid w:val="00BE53CB"/>
    <w:rsid w:val="00BF00E5"/>
    <w:rsid w:val="00BF3E48"/>
    <w:rsid w:val="00BF798E"/>
    <w:rsid w:val="00C04CCF"/>
    <w:rsid w:val="00C0711A"/>
    <w:rsid w:val="00C13020"/>
    <w:rsid w:val="00C13200"/>
    <w:rsid w:val="00C14B76"/>
    <w:rsid w:val="00C17240"/>
    <w:rsid w:val="00C173E1"/>
    <w:rsid w:val="00C32E78"/>
    <w:rsid w:val="00C46256"/>
    <w:rsid w:val="00C46A92"/>
    <w:rsid w:val="00C47D36"/>
    <w:rsid w:val="00C763DF"/>
    <w:rsid w:val="00C83670"/>
    <w:rsid w:val="00C865C0"/>
    <w:rsid w:val="00C911E9"/>
    <w:rsid w:val="00C91EDE"/>
    <w:rsid w:val="00C94E5F"/>
    <w:rsid w:val="00CA1B70"/>
    <w:rsid w:val="00CA21A6"/>
    <w:rsid w:val="00CB219D"/>
    <w:rsid w:val="00CC17A7"/>
    <w:rsid w:val="00CC1D9F"/>
    <w:rsid w:val="00CC71CD"/>
    <w:rsid w:val="00CD01EA"/>
    <w:rsid w:val="00CD0ED4"/>
    <w:rsid w:val="00CD5F3C"/>
    <w:rsid w:val="00CD78F7"/>
    <w:rsid w:val="00CE45F5"/>
    <w:rsid w:val="00CE4882"/>
    <w:rsid w:val="00CF1EF2"/>
    <w:rsid w:val="00CF2766"/>
    <w:rsid w:val="00CF41CC"/>
    <w:rsid w:val="00CF6A41"/>
    <w:rsid w:val="00CF7E04"/>
    <w:rsid w:val="00D0091A"/>
    <w:rsid w:val="00D0276F"/>
    <w:rsid w:val="00D02999"/>
    <w:rsid w:val="00D11EB2"/>
    <w:rsid w:val="00D13085"/>
    <w:rsid w:val="00D14FE0"/>
    <w:rsid w:val="00D22AFE"/>
    <w:rsid w:val="00D32488"/>
    <w:rsid w:val="00D35DF2"/>
    <w:rsid w:val="00D408ED"/>
    <w:rsid w:val="00D42EB8"/>
    <w:rsid w:val="00D46DC8"/>
    <w:rsid w:val="00D50818"/>
    <w:rsid w:val="00D52570"/>
    <w:rsid w:val="00D53097"/>
    <w:rsid w:val="00D562FD"/>
    <w:rsid w:val="00D655FC"/>
    <w:rsid w:val="00D6570D"/>
    <w:rsid w:val="00D765D2"/>
    <w:rsid w:val="00D7746B"/>
    <w:rsid w:val="00D81F5A"/>
    <w:rsid w:val="00D841F9"/>
    <w:rsid w:val="00D90580"/>
    <w:rsid w:val="00D974B1"/>
    <w:rsid w:val="00DA11BF"/>
    <w:rsid w:val="00DA1605"/>
    <w:rsid w:val="00DA4125"/>
    <w:rsid w:val="00DA64B4"/>
    <w:rsid w:val="00DA782D"/>
    <w:rsid w:val="00DB3865"/>
    <w:rsid w:val="00DB6008"/>
    <w:rsid w:val="00DB618E"/>
    <w:rsid w:val="00DB624E"/>
    <w:rsid w:val="00DC20BC"/>
    <w:rsid w:val="00DC4B3B"/>
    <w:rsid w:val="00DD05CE"/>
    <w:rsid w:val="00DE5293"/>
    <w:rsid w:val="00DE61A7"/>
    <w:rsid w:val="00DE7952"/>
    <w:rsid w:val="00DE7D2E"/>
    <w:rsid w:val="00DF0212"/>
    <w:rsid w:val="00E022F3"/>
    <w:rsid w:val="00E116AD"/>
    <w:rsid w:val="00E1376E"/>
    <w:rsid w:val="00E14123"/>
    <w:rsid w:val="00E254B1"/>
    <w:rsid w:val="00E3144A"/>
    <w:rsid w:val="00E337D8"/>
    <w:rsid w:val="00E361EE"/>
    <w:rsid w:val="00E41891"/>
    <w:rsid w:val="00E436E4"/>
    <w:rsid w:val="00E45054"/>
    <w:rsid w:val="00E50AE4"/>
    <w:rsid w:val="00E52178"/>
    <w:rsid w:val="00E5608C"/>
    <w:rsid w:val="00E63B6B"/>
    <w:rsid w:val="00E70EC3"/>
    <w:rsid w:val="00E72B4B"/>
    <w:rsid w:val="00E72FFE"/>
    <w:rsid w:val="00E74C96"/>
    <w:rsid w:val="00E905F5"/>
    <w:rsid w:val="00E92824"/>
    <w:rsid w:val="00E929BD"/>
    <w:rsid w:val="00E96894"/>
    <w:rsid w:val="00E9716B"/>
    <w:rsid w:val="00EA02A8"/>
    <w:rsid w:val="00EA5B8B"/>
    <w:rsid w:val="00EB1D7C"/>
    <w:rsid w:val="00EC1D9E"/>
    <w:rsid w:val="00EC3713"/>
    <w:rsid w:val="00EC6D2B"/>
    <w:rsid w:val="00ED10A5"/>
    <w:rsid w:val="00ED13BB"/>
    <w:rsid w:val="00ED1E7B"/>
    <w:rsid w:val="00ED687F"/>
    <w:rsid w:val="00EF6C27"/>
    <w:rsid w:val="00F03782"/>
    <w:rsid w:val="00F0632B"/>
    <w:rsid w:val="00F10953"/>
    <w:rsid w:val="00F1163E"/>
    <w:rsid w:val="00F13FA2"/>
    <w:rsid w:val="00F1632B"/>
    <w:rsid w:val="00F16EA5"/>
    <w:rsid w:val="00F217B4"/>
    <w:rsid w:val="00F3496D"/>
    <w:rsid w:val="00F37484"/>
    <w:rsid w:val="00F447C3"/>
    <w:rsid w:val="00F45852"/>
    <w:rsid w:val="00F51061"/>
    <w:rsid w:val="00F572BB"/>
    <w:rsid w:val="00F63064"/>
    <w:rsid w:val="00F7265A"/>
    <w:rsid w:val="00FA3BAD"/>
    <w:rsid w:val="00FA60CF"/>
    <w:rsid w:val="00FA7F7C"/>
    <w:rsid w:val="00FB45AB"/>
    <w:rsid w:val="00FC6054"/>
    <w:rsid w:val="00FC605B"/>
    <w:rsid w:val="00FD1C2C"/>
    <w:rsid w:val="00FD515E"/>
    <w:rsid w:val="00FD75A4"/>
    <w:rsid w:val="00FE2DD7"/>
    <w:rsid w:val="00FE5CD5"/>
    <w:rsid w:val="00FE7ABE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C140A"/>
  <w15:chartTrackingRefBased/>
  <w15:docId w15:val="{4B06B0F3-FCE1-445E-BF36-4AC8B791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vant" w:hAnsi="Avant"/>
      <w:sz w:val="24"/>
      <w:lang w:val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  <w:jc w:val="both"/>
    </w:pPr>
    <w:rPr>
      <w:rFonts w:ascii="Tahoma" w:hAnsi="Tahoma"/>
      <w:sz w:val="28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102CA"/>
    <w:rPr>
      <w:rFonts w:ascii="Tahoma" w:hAnsi="Tahoma" w:cs="Tahoma"/>
      <w:sz w:val="16"/>
      <w:szCs w:val="16"/>
    </w:rPr>
  </w:style>
  <w:style w:type="character" w:styleId="Strong">
    <w:name w:val="Strong"/>
    <w:qFormat/>
    <w:rsid w:val="00380436"/>
    <w:rPr>
      <w:b/>
      <w:bCs/>
    </w:rPr>
  </w:style>
  <w:style w:type="character" w:customStyle="1" w:styleId="do1">
    <w:name w:val="do1"/>
    <w:rsid w:val="00D408ED"/>
    <w:rPr>
      <w:b/>
      <w:bCs/>
      <w:sz w:val="26"/>
      <w:szCs w:val="26"/>
    </w:rPr>
  </w:style>
  <w:style w:type="character" w:customStyle="1" w:styleId="FooterChar">
    <w:name w:val="Footer Char"/>
    <w:link w:val="Footer"/>
    <w:uiPriority w:val="99"/>
    <w:rsid w:val="00A3087A"/>
    <w:rPr>
      <w:rFonts w:ascii="Avant" w:hAnsi="Avant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 AVOCATILOR  DIN  ROMANIA</vt:lpstr>
      <vt:lpstr>UNIUNEA  AVOCATILOR  DIN  ROMANIA</vt:lpstr>
    </vt:vector>
  </TitlesOfParts>
  <Company>X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 AVOCATILOR  DIN  ROMANIA</dc:title>
  <dc:subject>ANTET LA 21 MARTIE 1997 - CU NOILE TELEFOANE !</dc:subject>
  <dc:creator>SANDU GHERASIM</dc:creator>
  <cp:keywords/>
  <cp:lastModifiedBy>Sandu Gherasim</cp:lastModifiedBy>
  <cp:revision>3</cp:revision>
  <cp:lastPrinted>2016-03-10T09:58:00Z</cp:lastPrinted>
  <dcterms:created xsi:type="dcterms:W3CDTF">2022-03-23T14:35:00Z</dcterms:created>
  <dcterms:modified xsi:type="dcterms:W3CDTF">2022-03-23T14:52:00Z</dcterms:modified>
</cp:coreProperties>
</file>