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2E2" w:rsidRDefault="007662E2" w:rsidP="007662E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7662E2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Nedemnitatea în profesia de avocat. Cadrul legal actual și propuneri de lege ferenda</w:t>
      </w:r>
    </w:p>
    <w:p w:rsidR="00F53837" w:rsidRDefault="00F53837" w:rsidP="006908C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  <w:r w:rsidRPr="00F53837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L'indignité</w:t>
      </w:r>
      <w:r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 xml:space="preserve"> dans la</w:t>
      </w:r>
      <w:r w:rsidRPr="00F53837">
        <w:rPr>
          <w:rFonts w:ascii="inherit" w:eastAsia="Times New Roman" w:hAnsi="inherit" w:cs="Courier New"/>
          <w:color w:val="202124"/>
          <w:sz w:val="42"/>
          <w:szCs w:val="42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 xml:space="preserve">profession d'avocat. </w:t>
      </w:r>
      <w:r w:rsidR="00DA22E7" w:rsidRPr="00DA22E7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Le cadre juridique actuel</w:t>
      </w:r>
      <w:r w:rsidR="00DA22E7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 xml:space="preserve"> et </w:t>
      </w:r>
      <w:r w:rsidR="00DA22E7" w:rsidRPr="00DA22E7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propositions de loi ferenda</w:t>
      </w:r>
    </w:p>
    <w:p w:rsidR="007662E2" w:rsidRPr="003C0498" w:rsidRDefault="00053715" w:rsidP="003C049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The indig</w:t>
      </w:r>
      <w:r w:rsidR="00AA0833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nity in the</w:t>
      </w:r>
      <w:r w:rsidR="0001583B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 xml:space="preserve"> lawyer</w:t>
      </w:r>
      <w:r w:rsidR="0001583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’s profession</w:t>
      </w:r>
      <w:r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 xml:space="preserve">. </w:t>
      </w:r>
      <w:r w:rsidR="003C0498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 xml:space="preserve">The current legal framework </w:t>
      </w:r>
      <w:r w:rsidR="003137BD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 xml:space="preserve">and </w:t>
      </w:r>
      <w:r w:rsidR="003C0498">
        <w:rPr>
          <w:rFonts w:ascii="Times New Roman" w:eastAsia="Times New Roman" w:hAnsi="Times New Roman" w:cs="Times New Roman"/>
          <w:b/>
          <w:sz w:val="24"/>
          <w:szCs w:val="24"/>
          <w:lang w:val="en" w:eastAsia="ro-RO"/>
        </w:rPr>
        <w:t xml:space="preserve">ferenda </w:t>
      </w:r>
      <w:r w:rsidR="009B0498">
        <w:rPr>
          <w:rFonts w:ascii="Times New Roman" w:eastAsia="Times New Roman" w:hAnsi="Times New Roman" w:cs="Times New Roman"/>
          <w:b/>
          <w:sz w:val="24"/>
          <w:szCs w:val="24"/>
          <w:lang w:val="en" w:eastAsia="ro-RO"/>
        </w:rPr>
        <w:t xml:space="preserve">law </w:t>
      </w:r>
      <w:r w:rsidR="003137BD" w:rsidRPr="003137BD">
        <w:rPr>
          <w:rFonts w:ascii="Times New Roman" w:eastAsia="Times New Roman" w:hAnsi="Times New Roman" w:cs="Times New Roman"/>
          <w:b/>
          <w:sz w:val="24"/>
          <w:szCs w:val="24"/>
          <w:lang w:val="en" w:eastAsia="ro-RO"/>
        </w:rPr>
        <w:t>proposals</w:t>
      </w:r>
    </w:p>
    <w:p w:rsidR="007662E2" w:rsidRPr="007662E2" w:rsidRDefault="007662E2" w:rsidP="007662E2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662E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7662E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7662E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7662E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7662E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7662E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7662E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 xml:space="preserve">          </w:t>
      </w:r>
      <w:r w:rsidRPr="007662E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Avocat Elena Gavril</w:t>
      </w:r>
    </w:p>
    <w:p w:rsidR="007662E2" w:rsidRPr="007662E2" w:rsidRDefault="007662E2" w:rsidP="007662E2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662E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                              Baroul Suceava</w:t>
      </w:r>
    </w:p>
    <w:p w:rsidR="007662E2" w:rsidRPr="007662E2" w:rsidRDefault="007662E2" w:rsidP="007662E2">
      <w:pPr>
        <w:tabs>
          <w:tab w:val="left" w:pos="4185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7662E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</w:p>
    <w:p w:rsidR="00B7077E" w:rsidRPr="00B7077E" w:rsidRDefault="00366883" w:rsidP="00B7077E">
      <w:pPr>
        <w:spacing w:line="360" w:lineRule="auto"/>
        <w:ind w:firstLine="644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Capitolul I. Scurte considerații asupra </w:t>
      </w:r>
      <w:r w:rsidR="00BE233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demnității</w:t>
      </w:r>
      <w:r w:rsidR="007A2A1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="00555BD2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în profesia</w:t>
      </w:r>
      <w:r w:rsidR="007A2A1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de avocat</w:t>
      </w:r>
    </w:p>
    <w:p w:rsidR="00B7077E" w:rsidRDefault="0064602B" w:rsidP="00B7077E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Potrivit a</w:t>
      </w:r>
      <w:r w:rsidR="00105A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rt.</w:t>
      </w:r>
      <w:r w:rsidR="00335B0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1 </w:t>
      </w:r>
      <w:r w:rsidR="00105A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alin. (</w:t>
      </w:r>
      <w:r w:rsidR="0032549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1</w:t>
      </w:r>
      <w:r w:rsidR="00105A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)</w:t>
      </w:r>
      <w:r w:rsidR="0032549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335B0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din Legea nr. 51/1995 pentru organizarea și exercitarea profesiei de avocat</w:t>
      </w:r>
      <w:r w:rsidR="00997BE7">
        <w:rPr>
          <w:rStyle w:val="FootnoteReference"/>
          <w:rFonts w:ascii="Times New Roman" w:eastAsia="Times New Roman" w:hAnsi="Times New Roman" w:cs="Times New Roman"/>
          <w:sz w:val="24"/>
          <w:szCs w:val="24"/>
          <w:lang w:val="ro-RO" w:eastAsia="ro-RO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</w:t>
      </w:r>
      <w:r w:rsidR="00335B0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profesia de avocat este una liberă și independentă, având organizare și funcționare autonome</w:t>
      </w:r>
      <w:r w:rsidR="00997BE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C548E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iar potrivit art.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2</w:t>
      </w:r>
      <w:r w:rsidR="00C548E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alin. (</w:t>
      </w:r>
      <w:r w:rsidR="0032549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1</w:t>
      </w:r>
      <w:r w:rsidR="00C548E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din aceeași Lege</w:t>
      </w:r>
      <w:r w:rsidR="00105AC1">
        <w:rPr>
          <w:rStyle w:val="FootnoteReference"/>
          <w:rFonts w:ascii="Times New Roman" w:eastAsia="Times New Roman" w:hAnsi="Times New Roman" w:cs="Times New Roman"/>
          <w:sz w:val="24"/>
          <w:szCs w:val="24"/>
          <w:lang w:val="ro-RO" w:eastAsia="ro-RO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în exercitarea profesiei avocatul este independent și se supune numai legii, statutului p</w:t>
      </w:r>
      <w:r w:rsidR="00F71FE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rofesiei și codului deontologic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. </w:t>
      </w:r>
    </w:p>
    <w:p w:rsidR="00B7077E" w:rsidRDefault="0057647C" w:rsidP="00B7077E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Din aceste prevederi</w:t>
      </w:r>
      <w:r w:rsidR="00E6339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legale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7621A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coroborate cu art. 1 alin. (1) și alin. (2) din Statutul profesiei de avocat</w:t>
      </w:r>
      <w:r w:rsidR="00CA1F14">
        <w:rPr>
          <w:rStyle w:val="FootnoteReference"/>
          <w:rFonts w:ascii="Times New Roman" w:eastAsia="Times New Roman" w:hAnsi="Times New Roman" w:cs="Times New Roman"/>
          <w:sz w:val="24"/>
          <w:szCs w:val="24"/>
          <w:lang w:val="ro-RO" w:eastAsia="ro-RO"/>
        </w:rPr>
        <w:footnoteReference w:id="3"/>
      </w:r>
      <w:r w:rsidR="007621A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E6339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se desprind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principiile care stau la baza organizării și funcționării profesiei de avocat și anume</w:t>
      </w:r>
      <w:r w:rsidR="007621A7">
        <w:rPr>
          <w:rFonts w:ascii="Times New Roman" w:eastAsia="Times New Roman" w:hAnsi="Times New Roman" w:cs="Times New Roman"/>
          <w:sz w:val="24"/>
          <w:szCs w:val="24"/>
          <w:lang w:eastAsia="ro-RO"/>
        </w:rPr>
        <w:t>: p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rincipiul </w:t>
      </w:r>
      <w:r w:rsidR="007621A7">
        <w:rPr>
          <w:rFonts w:ascii="Times New Roman" w:eastAsia="Times New Roman" w:hAnsi="Times New Roman" w:cs="Times New Roman"/>
          <w:sz w:val="24"/>
          <w:szCs w:val="24"/>
          <w:lang w:eastAsia="ro-RO"/>
        </w:rPr>
        <w:t>legalit</w:t>
      </w:r>
      <w:r w:rsidR="007621A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ății, principiul libertății, principiul indep</w:t>
      </w:r>
      <w:r w:rsidR="0080411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en</w:t>
      </w:r>
      <w:r w:rsidR="007621A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denței, principiul autonomiei și descentralizării și principiul păstrării secretului profesional.</w:t>
      </w:r>
    </w:p>
    <w:p w:rsidR="00CB24E4" w:rsidRDefault="00EF25BE" w:rsidP="00B56D2C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 doctrină s-au mai conturat însă și alte principii specifice profesiei</w:t>
      </w:r>
      <w:r>
        <w:rPr>
          <w:rStyle w:val="FootnoteReference"/>
          <w:rFonts w:ascii="Times New Roman" w:eastAsia="Times New Roman" w:hAnsi="Times New Roman" w:cs="Times New Roman"/>
          <w:sz w:val="24"/>
          <w:szCs w:val="24"/>
          <w:lang w:val="ro-RO" w:eastAsia="ro-RO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dintre acestea amintim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: principiul </w:t>
      </w:r>
      <w:r w:rsidR="00E6339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monopolului avocaților asupra activităților specifice profesiei, principiul confraternității și respectului reciproc, </w:t>
      </w:r>
      <w:r w:rsidR="00255D67">
        <w:rPr>
          <w:rFonts w:ascii="Times New Roman" w:eastAsia="Times New Roman" w:hAnsi="Times New Roman" w:cs="Times New Roman"/>
          <w:sz w:val="24"/>
          <w:szCs w:val="24"/>
          <w:lang w:eastAsia="ro-RO"/>
        </w:rPr>
        <w:t>principiul confidențialității, principiul exercitării profesiei cu bună-credință dar și principiul demnității și onoarei profesiei de avocat</w:t>
      </w:r>
      <w:r w:rsidR="00255D67">
        <w:rPr>
          <w:rStyle w:val="FootnoteReference"/>
          <w:rFonts w:ascii="Times New Roman" w:eastAsia="Times New Roman" w:hAnsi="Times New Roman" w:cs="Times New Roman"/>
          <w:sz w:val="24"/>
          <w:szCs w:val="24"/>
          <w:lang w:eastAsia="ro-RO"/>
        </w:rPr>
        <w:footnoteReference w:id="5"/>
      </w:r>
      <w:r w:rsidR="00255D67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560C27" w:rsidRDefault="00804111" w:rsidP="00094ED8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 xml:space="preserve">Observăm </w:t>
      </w:r>
      <w:r w:rsidR="002B48C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faptul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că</w:t>
      </w:r>
      <w:r w:rsidR="002D058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gramStart"/>
      <w:r w:rsidR="002D058B">
        <w:rPr>
          <w:rFonts w:ascii="Times New Roman" w:eastAsia="Times New Roman" w:hAnsi="Times New Roman" w:cs="Times New Roman"/>
          <w:sz w:val="24"/>
          <w:szCs w:val="24"/>
          <w:lang w:eastAsia="ro-RO"/>
        </w:rPr>
        <w:t>un</w:t>
      </w:r>
      <w:proofErr w:type="gramEnd"/>
      <w:r w:rsidR="00DB508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principiu important pe care</w:t>
      </w:r>
      <w:r w:rsidR="002D058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doctrina noastră</w:t>
      </w:r>
      <w:r w:rsidR="00DB508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l-a conturat</w:t>
      </w:r>
      <w:r w:rsidR="002D058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A5788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de-a lungul timpului </w:t>
      </w:r>
      <w:r w:rsidR="002D058B">
        <w:rPr>
          <w:rFonts w:ascii="Times New Roman" w:eastAsia="Times New Roman" w:hAnsi="Times New Roman" w:cs="Times New Roman"/>
          <w:sz w:val="24"/>
          <w:szCs w:val="24"/>
          <w:lang w:eastAsia="ro-RO"/>
        </w:rPr>
        <w:t>este p</w:t>
      </w:r>
      <w:r w:rsidR="006144C1">
        <w:rPr>
          <w:rFonts w:ascii="Times New Roman" w:eastAsia="Times New Roman" w:hAnsi="Times New Roman" w:cs="Times New Roman"/>
          <w:sz w:val="24"/>
          <w:szCs w:val="24"/>
          <w:lang w:eastAsia="ro-RO"/>
        </w:rPr>
        <w:t>rincipiul demnității și onoarei profesiei de avoca</w:t>
      </w:r>
      <w:r w:rsidR="002D058B">
        <w:rPr>
          <w:rFonts w:ascii="Times New Roman" w:eastAsia="Times New Roman" w:hAnsi="Times New Roman" w:cs="Times New Roman"/>
          <w:sz w:val="24"/>
          <w:szCs w:val="24"/>
          <w:lang w:eastAsia="ro-RO"/>
        </w:rPr>
        <w:t>t.</w:t>
      </w:r>
    </w:p>
    <w:p w:rsidR="00BB71E0" w:rsidRDefault="00C967B1" w:rsidP="0084179A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</w:t>
      </w:r>
      <w:r w:rsidR="008417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otrivit art. 227</w:t>
      </w:r>
      <w:r w:rsidR="00810742">
        <w:rPr>
          <w:rStyle w:val="FootnoteReference"/>
          <w:rFonts w:ascii="Times New Roman" w:eastAsia="Times New Roman" w:hAnsi="Times New Roman" w:cs="Times New Roman"/>
          <w:sz w:val="24"/>
          <w:szCs w:val="24"/>
          <w:lang w:val="ro-RO" w:eastAsia="ro-RO"/>
        </w:rPr>
        <w:footnoteReference w:id="6"/>
      </w:r>
      <w:r w:rsidR="008417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din Statut, demnitatea și onoarea sunt principii fundamentale ale profesiei iar avocatul este dator să le respecte atât la nivel profesional cât și la nivel personal</w:t>
      </w:r>
      <w:r w:rsidR="009477F5">
        <w:rPr>
          <w:rStyle w:val="FootnoteReference"/>
          <w:rFonts w:ascii="Times New Roman" w:eastAsia="Times New Roman" w:hAnsi="Times New Roman" w:cs="Times New Roman"/>
          <w:sz w:val="24"/>
          <w:szCs w:val="24"/>
          <w:lang w:val="ro-RO" w:eastAsia="ro-RO"/>
        </w:rPr>
        <w:footnoteReference w:id="7"/>
      </w:r>
      <w:r w:rsidR="008417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2F049F" w:rsidRPr="002F049F" w:rsidRDefault="002F049F" w:rsidP="002F049F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Din aceste prevederi legale rezultă faptul că avocatura se bazează nu doar </w:t>
      </w:r>
      <w:r w:rsidRPr="009628F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pe pregătirea profesională teme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inică a avocatului ci</w:t>
      </w:r>
      <w:r w:rsidRPr="009628F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și pe moralitatea acestuia</w:t>
      </w:r>
      <w:r w:rsidRPr="009628F4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 w:eastAsia="ro-RO"/>
        </w:rPr>
        <w:footnoteReference w:id="8"/>
      </w:r>
      <w:r w:rsidRPr="009628F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  <w:r w:rsidRPr="009628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E21490" w:rsidRDefault="00FF2B9A" w:rsidP="000C2D6B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Este important de precizat faptul că demnitatea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este</w:t>
      </w:r>
      <w:proofErr w:type="gramEnd"/>
      <w:r w:rsidR="00E2149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și o condiție de fond pentru a accede în profesia de avocat.</w:t>
      </w:r>
    </w:p>
    <w:p w:rsidR="00E32A28" w:rsidRDefault="00E21490" w:rsidP="005149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Astfel, pentru ca o persoană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să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poată dobândi calitatea de avocat este</w:t>
      </w:r>
      <w:r w:rsidR="00DA75C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necesar ca aceasta </w:t>
      </w:r>
      <w:r w:rsidR="009B7E44">
        <w:rPr>
          <w:rFonts w:ascii="Times New Roman" w:eastAsia="Times New Roman" w:hAnsi="Times New Roman" w:cs="Times New Roman"/>
          <w:sz w:val="24"/>
          <w:szCs w:val="24"/>
          <w:lang w:eastAsia="ro-RO"/>
        </w:rPr>
        <w:t>să nu se afle în vreunul</w:t>
      </w:r>
      <w:r w:rsidR="00B20C6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din cazurile de nedemnitate impuse de lege</w:t>
      </w:r>
      <w:r w:rsidR="00B20C61">
        <w:rPr>
          <w:rStyle w:val="FootnoteReference"/>
          <w:rFonts w:ascii="Times New Roman" w:eastAsia="Times New Roman" w:hAnsi="Times New Roman" w:cs="Times New Roman"/>
          <w:sz w:val="24"/>
          <w:szCs w:val="24"/>
          <w:lang w:eastAsia="ro-RO"/>
        </w:rPr>
        <w:footnoteReference w:id="9"/>
      </w:r>
      <w:r w:rsidR="00B20C61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1134C2" w:rsidRDefault="0084179A" w:rsidP="005A5595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De asemenea, </w:t>
      </w:r>
      <w:r w:rsidR="00C85E9A">
        <w:rPr>
          <w:rFonts w:ascii="Times New Roman" w:eastAsia="Times New Roman" w:hAnsi="Times New Roman" w:cs="Times New Roman"/>
          <w:sz w:val="24"/>
          <w:szCs w:val="24"/>
          <w:lang w:eastAsia="ro-RO"/>
        </w:rPr>
        <w:t>potrivit art.</w:t>
      </w:r>
      <w:proofErr w:type="gramEnd"/>
      <w:r w:rsidR="00C85E9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gramStart"/>
      <w:r w:rsidR="00C85E9A">
        <w:rPr>
          <w:rFonts w:ascii="Times New Roman" w:eastAsia="Times New Roman" w:hAnsi="Times New Roman" w:cs="Times New Roman"/>
          <w:sz w:val="24"/>
          <w:szCs w:val="24"/>
          <w:lang w:eastAsia="ro-RO"/>
        </w:rPr>
        <w:t>229</w:t>
      </w:r>
      <w:r w:rsidR="00C85E9A">
        <w:rPr>
          <w:rStyle w:val="FootnoteReference"/>
          <w:rFonts w:ascii="Times New Roman" w:eastAsia="Times New Roman" w:hAnsi="Times New Roman" w:cs="Times New Roman"/>
          <w:sz w:val="24"/>
          <w:szCs w:val="24"/>
          <w:lang w:eastAsia="ro-RO"/>
        </w:rPr>
        <w:footnoteReference w:id="10"/>
      </w:r>
      <w:r w:rsidR="00C85E9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din</w:t>
      </w:r>
      <w:proofErr w:type="gramEnd"/>
      <w:r w:rsidR="00C85E9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Statut, </w:t>
      </w:r>
      <w:r w:rsidR="005A5595">
        <w:rPr>
          <w:rFonts w:ascii="Times New Roman" w:eastAsia="Times New Roman" w:hAnsi="Times New Roman" w:cs="Times New Roman"/>
          <w:sz w:val="24"/>
          <w:szCs w:val="24"/>
          <w:lang w:eastAsia="ro-RO"/>
        </w:rPr>
        <w:t>avocatul are îndatorirea să pledeze cu demnitate și să nu lezeze instanța sau participanții la proces</w:t>
      </w:r>
      <w:r w:rsidR="00FF2B9A">
        <w:rPr>
          <w:rFonts w:ascii="Times New Roman" w:eastAsia="Times New Roman" w:hAnsi="Times New Roman" w:cs="Times New Roman"/>
          <w:sz w:val="24"/>
          <w:szCs w:val="24"/>
          <w:lang w:eastAsia="ro-RO"/>
        </w:rPr>
        <w:t>. A</w:t>
      </w:r>
      <w:r w:rsidR="005A559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ceastă obligație </w:t>
      </w:r>
      <w:proofErr w:type="gramStart"/>
      <w:r w:rsidR="005A5595">
        <w:rPr>
          <w:rFonts w:ascii="Times New Roman" w:eastAsia="Times New Roman" w:hAnsi="Times New Roman" w:cs="Times New Roman"/>
          <w:sz w:val="24"/>
          <w:szCs w:val="24"/>
          <w:lang w:eastAsia="ro-RO"/>
        </w:rPr>
        <w:t>este</w:t>
      </w:r>
      <w:proofErr w:type="gramEnd"/>
      <w:r w:rsidR="005A559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valabilă atât în fața instanțelor de judecată cât și în afara lor</w:t>
      </w:r>
      <w:r w:rsidR="009477F5">
        <w:rPr>
          <w:rStyle w:val="FootnoteReference"/>
          <w:rFonts w:ascii="Times New Roman" w:eastAsia="Times New Roman" w:hAnsi="Times New Roman" w:cs="Times New Roman"/>
          <w:sz w:val="24"/>
          <w:szCs w:val="24"/>
          <w:lang w:eastAsia="ro-RO"/>
        </w:rPr>
        <w:footnoteReference w:id="11"/>
      </w:r>
      <w:r w:rsidR="005A5595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D95419" w:rsidRDefault="005A5595" w:rsidP="00D95419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D</w:t>
      </w:r>
      <w:r w:rsidR="00D75941">
        <w:rPr>
          <w:rFonts w:ascii="Times New Roman" w:eastAsia="Times New Roman" w:hAnsi="Times New Roman" w:cs="Times New Roman"/>
          <w:sz w:val="24"/>
          <w:szCs w:val="24"/>
          <w:lang w:eastAsia="ro-RO"/>
        </w:rPr>
        <w:t>emnitatea profesiei</w:t>
      </w:r>
      <w:r w:rsidR="0006650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 regăsește</w:t>
      </w:r>
      <w:r w:rsidR="00A5788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inclusiv </w:t>
      </w:r>
      <w:r w:rsidR="001134C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 dobândirea </w:t>
      </w:r>
      <w:r w:rsidR="00A57889">
        <w:rPr>
          <w:rFonts w:ascii="Times New Roman" w:eastAsia="Times New Roman" w:hAnsi="Times New Roman" w:cs="Times New Roman"/>
          <w:sz w:val="24"/>
          <w:szCs w:val="24"/>
          <w:lang w:eastAsia="ro-RO"/>
        </w:rPr>
        <w:t>clientelei</w:t>
      </w:r>
      <w:r w:rsidR="00D7594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către avocat</w:t>
      </w:r>
      <w:r w:rsidR="00D95419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proofErr w:type="gramEnd"/>
      <w:r w:rsidR="0092575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EE3F14" w:rsidRDefault="00D95419" w:rsidP="00E23E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Î</w:t>
      </w:r>
      <w:r w:rsidR="0092575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acest sens,</w:t>
      </w:r>
      <w:r w:rsidR="00A5788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atunci când avocatul își procură clienții</w:t>
      </w:r>
      <w:r w:rsidR="00E32A28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="00EE3F1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acesta trebuie să folosească metode oneste</w:t>
      </w:r>
      <w:r w:rsidR="0092575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iar </w:t>
      </w:r>
      <w:r w:rsidR="00A5788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publicitatea pe care o abordează trebuie să fie una </w:t>
      </w:r>
      <w:r w:rsidR="00EE3F1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legală, </w:t>
      </w:r>
      <w:proofErr w:type="gramStart"/>
      <w:r w:rsidR="00A5788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veridică  </w:t>
      </w:r>
      <w:r w:rsidR="00EE3F14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proofErr w:type="gramEnd"/>
      <w:r w:rsidR="00EE3F14">
        <w:rPr>
          <w:rFonts w:ascii="Times New Roman" w:eastAsia="Times New Roman" w:hAnsi="Times New Roman" w:cs="Times New Roman"/>
          <w:sz w:val="24"/>
          <w:szCs w:val="24"/>
          <w:lang w:eastAsia="ro-RO"/>
        </w:rPr>
        <w:t>i în concordanță cu păstrarea secretului profesional</w:t>
      </w:r>
      <w:r w:rsidR="00E23E31">
        <w:rPr>
          <w:rStyle w:val="FootnoteReference"/>
          <w:rFonts w:ascii="Times New Roman" w:eastAsia="Times New Roman" w:hAnsi="Times New Roman" w:cs="Times New Roman"/>
          <w:sz w:val="24"/>
          <w:szCs w:val="24"/>
          <w:lang w:eastAsia="ro-RO"/>
        </w:rPr>
        <w:footnoteReference w:id="12"/>
      </w:r>
      <w:r w:rsidR="00EE3F1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</w:t>
      </w:r>
    </w:p>
    <w:p w:rsidR="00637843" w:rsidRDefault="00EE3F14" w:rsidP="001271D6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Așadar, în utilizarea mijloacelor de publicitate ale profesiei, avocatului îi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este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prohibit să </w:t>
      </w:r>
      <w:r w:rsidR="00D75941">
        <w:rPr>
          <w:rFonts w:ascii="Times New Roman" w:eastAsia="Times New Roman" w:hAnsi="Times New Roman" w:cs="Times New Roman"/>
          <w:sz w:val="24"/>
          <w:szCs w:val="24"/>
          <w:lang w:eastAsia="ro-RO"/>
        </w:rPr>
        <w:t>folosească informații de natură laudativă sau comparativă ori să dezvăluie identitatea clienților săi.</w:t>
      </w:r>
      <w:r w:rsidR="001271D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9A538B" w:rsidRDefault="00275319" w:rsidP="00E23E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Tot aici</w:t>
      </w:r>
      <w:r w:rsidR="00D316B5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amintim </w:t>
      </w:r>
      <w:r w:rsidR="007C0FA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și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faptul că </w:t>
      </w:r>
      <w:r w:rsidR="001271D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mijloacele de publicitate a formelor de exercitare a </w:t>
      </w:r>
      <w:proofErr w:type="gramStart"/>
      <w:r w:rsidR="001271D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profesiei </w:t>
      </w:r>
      <w:r w:rsidR="00D9541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1271D6">
        <w:rPr>
          <w:rFonts w:ascii="Times New Roman" w:eastAsia="Times New Roman" w:hAnsi="Times New Roman" w:cs="Times New Roman"/>
          <w:sz w:val="24"/>
          <w:szCs w:val="24"/>
          <w:lang w:eastAsia="ro-RO"/>
        </w:rPr>
        <w:t>nu</w:t>
      </w:r>
      <w:proofErr w:type="gramEnd"/>
      <w:r w:rsidR="001271D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pot fi utilizate ca modalitate de  reclamă pentru dobândirea clientelei</w:t>
      </w:r>
      <w:r w:rsidR="001271D6">
        <w:rPr>
          <w:rStyle w:val="FootnoteReference"/>
          <w:rFonts w:ascii="Times New Roman" w:eastAsia="Times New Roman" w:hAnsi="Times New Roman" w:cs="Times New Roman"/>
          <w:sz w:val="24"/>
          <w:szCs w:val="24"/>
          <w:lang w:eastAsia="ro-RO"/>
        </w:rPr>
        <w:footnoteReference w:id="13"/>
      </w:r>
      <w:r w:rsidR="001271D6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9A4BBB" w:rsidRDefault="009A4BBB" w:rsidP="006D5D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7766B" w:rsidRDefault="00A7766B" w:rsidP="001271D6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9A4BBB" w:rsidRDefault="009A4BBB" w:rsidP="009A4BBB">
      <w:pPr>
        <w:spacing w:line="360" w:lineRule="auto"/>
        <w:ind w:firstLine="644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987D9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Capitolul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II. </w:t>
      </w:r>
      <w:r w:rsidR="00EE2BD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Aspecte</w:t>
      </w:r>
      <w:r w:rsidR="009618A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legale </w:t>
      </w:r>
      <w:r w:rsidR="008E075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și propuneri de lege ferenda </w:t>
      </w:r>
      <w:r w:rsidR="009618A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privind nedemnitatea profesională a avocatului</w:t>
      </w:r>
    </w:p>
    <w:p w:rsidR="001271D6" w:rsidRDefault="003241EF" w:rsidP="003652BF">
      <w:pPr>
        <w:spacing w:line="360" w:lineRule="auto"/>
        <w:ind w:firstLine="64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bookmarkStart w:id="0" w:name="_Toc485646054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Secțiunea 1.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Cazurile de nedemnitate</w:t>
      </w:r>
    </w:p>
    <w:p w:rsidR="00410BE0" w:rsidRDefault="00410BE0" w:rsidP="006D5D34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Avocatura nu este o profesie juridică oarecare ci constituie una dintr</w:t>
      </w:r>
      <w:r w:rsidR="00F86383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e profesiile juridice vitale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sitemului nostru judiciar</w:t>
      </w:r>
      <w:r w:rsidR="00F86383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footnoteReference w:id="14"/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.</w:t>
      </w:r>
    </w:p>
    <w:p w:rsidR="00C03E42" w:rsidRDefault="00410BE0" w:rsidP="006D5D34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De aceea, în</w:t>
      </w:r>
      <w:r w:rsidR="00C741F9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exercitarea profesiei</w:t>
      </w:r>
      <w:r w:rsidR="003652BF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avocatul trebuie să dea do</w:t>
      </w:r>
      <w:r w:rsidR="0081079F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vadă de un</w:t>
      </w:r>
      <w:r w:rsidR="004A2D5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comportament</w:t>
      </w:r>
      <w:r w:rsidR="0081079F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civic </w:t>
      </w:r>
      <w:r w:rsidR="004A2D5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deosebit</w:t>
      </w:r>
      <w:r w:rsidR="003652BF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întrucât </w:t>
      </w:r>
      <w:r w:rsidR="00D032C7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este</w:t>
      </w:r>
      <w:r w:rsidR="004A2D5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un partener indispensabil al j</w:t>
      </w:r>
      <w:r w:rsidR="003652BF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ustiției</w:t>
      </w:r>
      <w:r w:rsidR="006D5D34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. </w:t>
      </w:r>
    </w:p>
    <w:p w:rsidR="00D70E28" w:rsidRDefault="006D5D34" w:rsidP="00726ED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Prin urmare</w:t>
      </w:r>
      <w:r w:rsidR="006A7B04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, </w:t>
      </w:r>
      <w:r w:rsidR="00B42222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Legea</w:t>
      </w:r>
      <w:r w:rsidR="00C60B05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nr. 51/1995</w:t>
      </w:r>
      <w:r w:rsidR="00B42222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  <w:r w:rsidR="00C60B05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consacră patru cazuri</w:t>
      </w:r>
      <w:r w:rsidR="00B42222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de nedemnitate profesională</w:t>
      </w:r>
      <w:r w:rsidR="00C60B05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footnoteReference w:id="15"/>
      </w:r>
      <w:r w:rsidR="004465BF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care se regăsesc</w:t>
      </w:r>
      <w:r w:rsidR="004E6466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  <w:r w:rsidR="006A7B04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expres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în cuprinsul</w:t>
      </w:r>
      <w:r w:rsidR="00D032C7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  <w:r w:rsidR="00937C8B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art. 14 din Lege</w:t>
      </w:r>
      <w:r w:rsidR="00937C8B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footnoteReference w:id="16"/>
      </w:r>
      <w:r w:rsidR="00D70E28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. </w:t>
      </w:r>
    </w:p>
    <w:p w:rsidR="00933558" w:rsidRDefault="00E6105C" w:rsidP="00675992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Cu privire la primul caz de nedemnitate</w:t>
      </w:r>
      <w:r w:rsidR="004465BF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profesională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, remarcăm</w:t>
      </w:r>
      <w:r w:rsidR="0093355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faptul că p</w:t>
      </w:r>
      <w:r w:rsidR="006D5D3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revederile care se desprind din </w:t>
      </w:r>
      <w:r w:rsidR="0093355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art.</w:t>
      </w:r>
      <w:proofErr w:type="gramEnd"/>
      <w:r w:rsidR="0093355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gramStart"/>
      <w:r w:rsidR="0093355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14 alin.</w:t>
      </w:r>
      <w:proofErr w:type="gramEnd"/>
      <w:r w:rsidR="0093355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(1) </w:t>
      </w:r>
      <w:proofErr w:type="gramStart"/>
      <w:r w:rsidR="0093355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lit</w:t>
      </w:r>
      <w:proofErr w:type="gramEnd"/>
      <w:r w:rsidR="0093355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 a</w:t>
      </w:r>
      <w:r w:rsidR="00DA79E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)</w:t>
      </w:r>
      <w:r w:rsidR="0093355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gramStart"/>
      <w:r w:rsidR="0093355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din</w:t>
      </w:r>
      <w:proofErr w:type="gramEnd"/>
      <w:r w:rsidR="0093355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Legea nr. </w:t>
      </w:r>
      <w:proofErr w:type="gramStart"/>
      <w:r w:rsidR="0093355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51/1995 sunt de natură limitativă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</w:p>
    <w:p w:rsidR="008D0463" w:rsidRDefault="00A930BD" w:rsidP="0027569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Astfel, legiuitorul a stabilit</w:t>
      </w:r>
      <w:r w:rsidR="00A13D7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="0036576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condamnările care duc</w:t>
      </w:r>
      <w:r w:rsidR="008D046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la existența cazului de nedemnitate</w:t>
      </w:r>
      <w:r w:rsidR="0036576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profesională statuând asupra faptului că </w:t>
      </w:r>
      <w:r w:rsidR="001330E6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în această categorie intră </w:t>
      </w:r>
      <w:r w:rsidR="0036576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doar condamn</w:t>
      </w:r>
      <w:r w:rsidR="001330E6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ările la pedeapsa închisorii </w:t>
      </w:r>
      <w:r w:rsidR="00560C2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pentru comiterea</w:t>
      </w:r>
      <w:r w:rsidR="0036576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unei infracțiuni intenționate de natură </w:t>
      </w:r>
      <w:proofErr w:type="gramStart"/>
      <w:r w:rsidR="0036576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să</w:t>
      </w:r>
      <w:proofErr w:type="gramEnd"/>
      <w:r w:rsidR="0036576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aducă </w:t>
      </w:r>
      <w:r w:rsidR="009E54B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atingere prestigiului profesiei</w:t>
      </w:r>
      <w:r w:rsidR="00726ED9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eastAsia="ro-RO"/>
        </w:rPr>
        <w:footnoteReference w:id="17"/>
      </w:r>
      <w:r w:rsidR="0036576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</w:p>
    <w:p w:rsidR="004D4329" w:rsidRDefault="00950ED3" w:rsidP="00126B68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Așadar, </w:t>
      </w:r>
      <w:r w:rsidR="00126B6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în cadrul acestui caz </w:t>
      </w:r>
      <w:proofErr w:type="gramStart"/>
      <w:r w:rsidR="00126B6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de  nedemnitate</w:t>
      </w:r>
      <w:proofErr w:type="gramEnd"/>
      <w:r w:rsidR="00126B6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nu s-au avut în vedere și alte con</w:t>
      </w:r>
      <w:r w:rsidR="0021019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damnări de care poate fi susceptibil</w:t>
      </w:r>
      <w:r w:rsidR="00126B6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avocatul </w:t>
      </w:r>
      <w:r w:rsidR="0036688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în cariera sa </w:t>
      </w:r>
      <w:r w:rsidR="00126B6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cum este  de pildă, o eventuală condamnare la pedeapsa amenzii</w:t>
      </w:r>
      <w:r w:rsidR="00126B68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eastAsia="ro-RO"/>
        </w:rPr>
        <w:footnoteReference w:id="18"/>
      </w:r>
      <w:r w:rsidR="00126B6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. </w:t>
      </w:r>
    </w:p>
    <w:p w:rsidR="00E779B9" w:rsidRDefault="00E779B9" w:rsidP="0044395B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lastRenderedPageBreak/>
        <w:t>De asemenea, textul legal nu nu specifică care dintre condamnările la pedeapsa închisorii atrage nedemnitatea</w:t>
      </w:r>
      <w:r w:rsidR="0044395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  <w:proofErr w:type="gramEnd"/>
      <w:r w:rsidR="0044395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gramStart"/>
      <w:r w:rsidR="0044395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De exemplu, în cazul în care instanța dispune suspendarea executării pedepsei sub supraveghere suntem în prezența acestui caz de nedemnitate</w:t>
      </w:r>
      <w:r w:rsidR="0044395B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eastAsia="ro-RO"/>
        </w:rPr>
        <w:footnoteReference w:id="19"/>
      </w:r>
      <w:r w:rsidR="0044395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?</w:t>
      </w:r>
      <w:proofErr w:type="gramEnd"/>
    </w:p>
    <w:p w:rsidR="0044395B" w:rsidRDefault="0044395B" w:rsidP="0044395B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S-a considerat</w:t>
      </w:r>
      <w:r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eastAsia="ro-RO"/>
        </w:rPr>
        <w:footnoteReference w:id="20"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că atât timp cât există o condamnare definitivă la pedeapsa închisorii </w:t>
      </w:r>
      <w:r w:rsidR="006E552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ne găsim în cazul de nedemnitate supus analizei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  <w:proofErr w:type="gramEnd"/>
    </w:p>
    <w:p w:rsidR="003E1220" w:rsidRDefault="00EA538F" w:rsidP="00126B68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Într-o opinie</w:t>
      </w:r>
      <w:r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eastAsia="ro-RO"/>
        </w:rPr>
        <w:footnoteReference w:id="21"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s-a reținut faptul că primul caz de nedemnitate nu se pliază pe rigoarea profesi</w:t>
      </w:r>
      <w:r w:rsidR="0021019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ei de avocat și că în alte </w:t>
      </w:r>
      <w:r w:rsidR="00210193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țări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exisă </w:t>
      </w:r>
      <w:r w:rsidR="0080463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reguli stricte pentru exercitarea acestei profesii</w:t>
      </w:r>
      <w:r w:rsidR="003E1220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  <w:proofErr w:type="gramEnd"/>
    </w:p>
    <w:p w:rsidR="00153CAE" w:rsidRDefault="003E1220" w:rsidP="00126B68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</w:t>
      </w:r>
      <w:r w:rsidR="0080463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e pildă</w:t>
      </w:r>
      <w:r w:rsidR="00AF45A9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,</w:t>
      </w:r>
      <w:r w:rsidR="0080463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în legislația franceză</w:t>
      </w:r>
      <w:r w:rsidR="00AF45A9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nu poate avea calitatea de avocat cel care a comis o faptă</w:t>
      </w:r>
      <w:r w:rsidR="0056359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de natură a afecta onoarea, probitatea și bunele moravuri</w:t>
      </w:r>
      <w:r w:rsidR="0098418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ale avocatului</w:t>
      </w:r>
      <w:r w:rsidR="0056359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și</w:t>
      </w:r>
      <w:r w:rsidR="000E281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care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at</w:t>
      </w:r>
      <w:r w:rsidR="0098418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rage</w:t>
      </w:r>
      <w:r w:rsidR="0056359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o condamnare penală</w:t>
      </w:r>
      <w:r w:rsidR="0056359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. </w:t>
      </w:r>
    </w:p>
    <w:p w:rsidR="00EA538F" w:rsidRDefault="00563598" w:rsidP="00726ED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Mai mult decât atât,</w:t>
      </w:r>
      <w:r w:rsidR="003E1220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="00B05BF9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interdicția persistă</w:t>
      </w:r>
      <w:r w:rsidR="003E1220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="00AF45A9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inclusiv</w:t>
      </w:r>
      <w:r w:rsidR="003C41E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="0021019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în cad</w:t>
      </w:r>
      <w:r w:rsidR="00B05BF9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rul sancțiunilor</w:t>
      </w:r>
      <w:r w:rsidR="00AF45A9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disciplinare și administrative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ale avocatului</w:t>
      </w:r>
      <w:r w:rsidR="00275691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eastAsia="ro-RO"/>
        </w:rPr>
        <w:footnoteReference w:id="22"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  <w:proofErr w:type="gramEnd"/>
    </w:p>
    <w:p w:rsidR="00297B55" w:rsidRDefault="001B0961" w:rsidP="00297B55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Este important de menționat faptul că p</w:t>
      </w:r>
      <w:r w:rsidR="00D032C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rimul caz de nedemnitate prevăzut de art.</w:t>
      </w:r>
      <w:proofErr w:type="gramEnd"/>
      <w:r w:rsidR="00D032C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gramStart"/>
      <w:r w:rsidR="00D032C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14 alin.</w:t>
      </w:r>
      <w:proofErr w:type="gramEnd"/>
      <w:r w:rsidR="00D032C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(1) </w:t>
      </w:r>
      <w:proofErr w:type="gramStart"/>
      <w:r w:rsidR="00D032C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lit</w:t>
      </w:r>
      <w:proofErr w:type="gramEnd"/>
      <w:r w:rsidR="00D032C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 a</w:t>
      </w:r>
      <w:r w:rsidR="00DA79E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)</w:t>
      </w:r>
      <w:r w:rsidR="00D032C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gramStart"/>
      <w:r w:rsidR="00D032C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din</w:t>
      </w:r>
      <w:proofErr w:type="gramEnd"/>
      <w:r w:rsidR="00D032C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Lege</w:t>
      </w:r>
      <w:r w:rsidR="00297B5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a făcut </w:t>
      </w:r>
      <w:r w:rsidR="004D4329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și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obiectul unei ex</w:t>
      </w:r>
      <w:r w:rsidR="00297B5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e</w:t>
      </w:r>
      <w:r w:rsidR="00297B5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pții de neconstituționalitate.</w:t>
      </w:r>
    </w:p>
    <w:p w:rsidR="001B0961" w:rsidRDefault="001B0961" w:rsidP="0027569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Mai exact, </w:t>
      </w:r>
      <w:r w:rsidR="00D032C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prin Decizia nr.</w:t>
      </w:r>
      <w:proofErr w:type="gramEnd"/>
      <w:r w:rsidR="00D032C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225 din 4 aprilie 2017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, Curtea Constituțională a admis excepția de neconstituționalitate considerând că sintagma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,,</w:t>
      </w:r>
      <w:r w:rsidRPr="00297B5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de</w:t>
      </w:r>
      <w:proofErr w:type="gramEnd"/>
      <w:r w:rsidRPr="00297B5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natură să aducă atingere prestigiului profesie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” este neconstitu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țională</w:t>
      </w:r>
      <w:r w:rsidR="00275691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footnoteReference w:id="23"/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.</w:t>
      </w:r>
    </w:p>
    <w:p w:rsidR="00F126C2" w:rsidRDefault="001B0961" w:rsidP="001B0961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Curtea a apreciat faptul că </w:t>
      </w:r>
      <w:r w:rsidR="00EC5AD4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această sintagmă nu este clară, precisă și previzibilă putând duce la o aplicare diferită și discriminatorie</w:t>
      </w:r>
      <w:r w:rsidR="00F126C2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cu consecința unor interpretări arbitrare. </w:t>
      </w:r>
    </w:p>
    <w:p w:rsidR="001B0961" w:rsidRDefault="00B43D83" w:rsidP="0027569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De asemenea, Decizia Curții s-a bazat și pe </w:t>
      </w:r>
      <w:r w:rsidR="004A081B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neprezentarea în mod concret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a infracțiunilor care afectează prestigiul profesiei de avocat</w:t>
      </w:r>
      <w:r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footnoteReference w:id="24"/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.</w:t>
      </w:r>
      <w:r w:rsidR="00F126C2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 </w:t>
      </w:r>
      <w:r w:rsidR="00EC5AD4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</w:p>
    <w:p w:rsidR="00863ED1" w:rsidRDefault="00863ED1" w:rsidP="001B0961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Ca element de noutate</w:t>
      </w:r>
      <w:r w:rsidR="000E2815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,</w:t>
      </w:r>
      <w:r w:rsidR="006736B4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  <w:r w:rsidR="003259D3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menționăm</w:t>
      </w:r>
      <w:r w:rsidR="0050485D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faptul că în ședința desfășurată în data de 28 aprilie 2022, Curtea Constituțională a admis cu majoritate de voturi excepția de neconstituționalitate și a considerat că întregul text cuprins în art. 14 </w:t>
      </w:r>
      <w:r w:rsidR="0050485D" w:rsidRPr="0050485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alin. (1) </w:t>
      </w:r>
      <w:proofErr w:type="gramStart"/>
      <w:r w:rsidR="0050485D" w:rsidRPr="0050485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lit</w:t>
      </w:r>
      <w:proofErr w:type="gramEnd"/>
      <w:r w:rsidR="0050485D" w:rsidRPr="0050485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 a</w:t>
      </w:r>
      <w:r w:rsidR="00DA79E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)</w:t>
      </w:r>
      <w:r w:rsidR="0050485D" w:rsidRPr="0050485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gramStart"/>
      <w:r w:rsidR="0050485D" w:rsidRPr="0050485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din</w:t>
      </w:r>
      <w:proofErr w:type="gramEnd"/>
      <w:r w:rsidR="0050485D" w:rsidRPr="0050485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Lege</w:t>
      </w:r>
      <w:r w:rsidR="0050485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a nr. 51/1995 </w:t>
      </w:r>
      <w:r w:rsidR="0050485D" w:rsidRPr="0050485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pentru organizarea și exercitarea profesiei de avocat</w:t>
      </w:r>
      <w:r w:rsidR="0050485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gramStart"/>
      <w:r w:rsidR="0050485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este</w:t>
      </w:r>
      <w:proofErr w:type="gramEnd"/>
      <w:r w:rsidR="0050485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neconstituțional</w:t>
      </w:r>
      <w:r w:rsidR="003259D3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eastAsia="ro-RO"/>
        </w:rPr>
        <w:footnoteReference w:id="25"/>
      </w:r>
      <w:r w:rsidR="0050485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</w:p>
    <w:p w:rsidR="00153CAE" w:rsidRPr="00153CAE" w:rsidRDefault="003259D3" w:rsidP="00153CAE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lastRenderedPageBreak/>
        <w:t xml:space="preserve">Amintim că </w:t>
      </w:r>
      <w:r w:rsidR="00D8577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potrivit art.</w:t>
      </w:r>
      <w:proofErr w:type="gramEnd"/>
      <w:r w:rsidR="00D8577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gramStart"/>
      <w:r w:rsidR="00D8577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147 alin.</w:t>
      </w:r>
      <w:proofErr w:type="gramEnd"/>
      <w:r w:rsidR="00D8577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(4) din Constituție</w:t>
      </w:r>
      <w:r w:rsidR="00D85775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eastAsia="ro-RO"/>
        </w:rPr>
        <w:footnoteReference w:id="26"/>
      </w:r>
      <w:r w:rsidR="00D8577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Deciziile Curții Constituționale sunt definitive și general obligatorii de la momentul publicării lor în </w:t>
      </w:r>
      <w:r w:rsidRPr="003259D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Monitor</w:t>
      </w:r>
      <w:r w:rsidR="00D8577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ul Oficial al României</w:t>
      </w:r>
      <w:r w:rsidRPr="003259D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</w:p>
    <w:p w:rsidR="00305FF0" w:rsidRDefault="00305FF0" w:rsidP="001B0961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Apreciem că Decizia Curții Constituționale este de bun augur întrucât pune capăt</w:t>
      </w:r>
      <w:r w:rsidR="001330E6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odată și pentru totdeauna </w:t>
      </w:r>
      <w:r w:rsidR="006736B4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tuturor controverselor cu care s-a confruntat profesia noastră de-a lungul timpului</w:t>
      </w:r>
      <w:r w:rsidR="00DE4EE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în legătură cu</w:t>
      </w:r>
      <w:r w:rsidR="009716A4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caz</w:t>
      </w:r>
      <w:r w:rsidR="00DE4EE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ul</w:t>
      </w:r>
      <w:r w:rsidR="009716A4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de nedemnitate</w:t>
      </w:r>
      <w:r w:rsidR="00DE4EE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prevăzut la art. 14 alin. (1) lit. a</w:t>
      </w:r>
      <w:r w:rsidR="00DA79EE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)</w:t>
      </w:r>
      <w:r w:rsidR="00DE4EE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din Legea nr. 51/1995</w:t>
      </w:r>
      <w:r w:rsidR="00164004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.</w:t>
      </w:r>
    </w:p>
    <w:p w:rsidR="00C967B1" w:rsidRDefault="006A5876" w:rsidP="00A83CEF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Al doilea caz de nedemnitate</w:t>
      </w:r>
      <w:r w:rsidR="00A83CEF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  <w:r w:rsidR="006539CE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este </w:t>
      </w:r>
      <w:r w:rsidR="0037376B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prevăzut de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art. 14 alin.(1) lit. b</w:t>
      </w:r>
      <w:r w:rsidR="00DA79EE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  <w:r w:rsidR="00212D5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din Lege</w:t>
      </w:r>
      <w:r w:rsidR="00C967B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. </w:t>
      </w:r>
    </w:p>
    <w:p w:rsidR="0037376B" w:rsidRDefault="00C967B1" w:rsidP="00355C7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Menționăm faptul că</w:t>
      </w:r>
      <w:r w:rsidRPr="00C967B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prin Legea nr. 270/2010</w:t>
      </w:r>
      <w:r w:rsidR="00212D5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  <w:r w:rsidR="004E12C7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acest caz de nedemnitate</w:t>
      </w:r>
      <w:r w:rsidR="006539CE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  <w:r w:rsidR="006A5876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a suferit </w:t>
      </w:r>
      <w:r w:rsidR="0037376B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unele </w:t>
      </w:r>
      <w:r w:rsidR="006A5876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modifică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ri</w:t>
      </w:r>
      <w:r w:rsidR="0037376B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footnoteReference w:id="27"/>
      </w:r>
      <w:r w:rsidR="006539CE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. </w:t>
      </w:r>
    </w:p>
    <w:p w:rsidR="004A2D51" w:rsidRDefault="006539CE" w:rsidP="00A83CEF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A</w:t>
      </w:r>
      <w:r w:rsidR="006A5876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stfel, </w:t>
      </w:r>
      <w:r w:rsidR="002D7D22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potrivit noilor modificări</w:t>
      </w:r>
      <w:r w:rsidR="00D317CF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,</w:t>
      </w:r>
      <w:r w:rsidR="002D7D22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  <w:r w:rsidR="006A5876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constituie nedemnita</w:t>
      </w:r>
      <w:r w:rsidR="00D469CA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te profesională inclusiv</w:t>
      </w:r>
      <w:r w:rsidR="002D7D22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,,</w:t>
      </w:r>
      <w:r w:rsidR="006A5876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săvârșirea de abateri disciplinare grave</w:t>
      </w:r>
      <w:r w:rsidR="00A83CEF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, sancționate cu măsura excluderii din profesie, ca sancțiune disciplinară</w:t>
      </w:r>
      <w:r w:rsidR="00A83CEF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”</w:t>
      </w:r>
      <w:r w:rsidR="00355C74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eastAsia="ro-RO"/>
        </w:rPr>
        <w:footnoteReference w:id="28"/>
      </w:r>
      <w:r w:rsidR="00A83CEF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</w:p>
    <w:p w:rsidR="002D7D22" w:rsidRDefault="002D7D22" w:rsidP="00355C7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Remarcăm faptul că textul de lege nu deosebește </w:t>
      </w:r>
      <w:r w:rsidR="00212D5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dacă măsura excluderii din profesie, ca sancțiune disciplinară se aplică doar în profesia de avocat sau în orice </w:t>
      </w:r>
      <w:proofErr w:type="gramStart"/>
      <w:r w:rsidR="00212D5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altă</w:t>
      </w:r>
      <w:proofErr w:type="gramEnd"/>
      <w:r w:rsidR="00212D5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profesie</w:t>
      </w:r>
      <w:r w:rsidR="00C967B1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eastAsia="ro-RO"/>
        </w:rPr>
        <w:footnoteReference w:id="29"/>
      </w:r>
      <w:r w:rsidR="00212D5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</w:p>
    <w:p w:rsidR="00052962" w:rsidRDefault="00212D51" w:rsidP="00052962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De lege ferenda, apreciem că se impune </w:t>
      </w:r>
      <w:r w:rsidR="0005296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o c</w:t>
      </w:r>
      <w:r w:rsidR="00632A30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larificare a textului legislativ</w:t>
      </w:r>
      <w:r w:rsidR="00D317CF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,</w:t>
      </w:r>
      <w:r w:rsidR="0005296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în sensul că </w:t>
      </w:r>
      <w:proofErr w:type="gramStart"/>
      <w:r w:rsidR="00D317CF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este</w:t>
      </w:r>
      <w:proofErr w:type="gramEnd"/>
      <w:r w:rsidR="00D317CF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nedemn de a fi avocat cel care a fost exclus din p</w:t>
      </w:r>
      <w:r w:rsidR="0037376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rofesia de avocat.</w:t>
      </w:r>
    </w:p>
    <w:p w:rsidR="0037376B" w:rsidRDefault="00C5234E" w:rsidP="00052962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Referitor la o nouă primire în profesia de avocat</w:t>
      </w:r>
      <w:r w:rsidR="004E12C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ca urmare a apariției cazului de nedemnitate pentru săvârșirea unor abuzuri prin care s-au încălcat drepturile și libertățile fundamentale ale omului</w:t>
      </w:r>
      <w:r w:rsidR="007F486F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și care au fost constatate prin hotărâre judecătorească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, </w:t>
      </w:r>
      <w:r w:rsidR="007F486F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s-a apreciat</w:t>
      </w:r>
      <w:r w:rsidR="007F486F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eastAsia="ro-RO"/>
        </w:rPr>
        <w:footnoteReference w:id="30"/>
      </w:r>
      <w:r w:rsidR="007F486F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că dacă suntem și în prezența modalității de încetare a profesiei</w:t>
      </w:r>
      <w:r w:rsidR="00F960A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prevăzute</w:t>
      </w:r>
      <w:r w:rsidR="007F486F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art. 26 lit. d</w:t>
      </w:r>
      <w:r w:rsidR="00DA79E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)</w:t>
      </w:r>
      <w:r w:rsidR="007F486F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din Lege respectiv</w:t>
      </w:r>
      <w:r w:rsidR="00F960A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,</w:t>
      </w:r>
      <w:r w:rsidR="007F486F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</w:t>
      </w:r>
      <w:r w:rsidR="00F960A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avocatul a fost condamnat definitiv pentru o faptă de natură penală care îl face nedemn de profesia de avocat atunci</w:t>
      </w:r>
      <w:r w:rsidR="00CC3FA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,</w:t>
      </w:r>
      <w:r w:rsidR="00F960A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cel care solicită reînscrierea poate redobândi profesia de avocat în baza </w:t>
      </w:r>
      <w:r w:rsidR="004E12C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instituției </w:t>
      </w:r>
      <w:r w:rsidR="00F960A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reabilitării</w:t>
      </w:r>
      <w:r w:rsidR="00CC3FA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prevăzute de Codul Penal</w:t>
      </w:r>
      <w:r w:rsidR="00F960A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</w:p>
    <w:p w:rsidR="00F960A5" w:rsidRDefault="00F960A5" w:rsidP="00F960A5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lastRenderedPageBreak/>
        <w:t>Nu la fel se întâmplă în cazul excluderii din profesia de avocat ca sancțiune disciplinară.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Observăm că</w:t>
      </w:r>
      <w:r w:rsidR="00AE6BA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în acest caz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nu ex</w:t>
      </w:r>
      <w:r w:rsidR="00AE6BA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istă o reabilitare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iar cel exclus din profesie nu mai poate fi reprimit</w:t>
      </w:r>
      <w:r w:rsidR="00355C74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eastAsia="ro-RO"/>
        </w:rPr>
        <w:footnoteReference w:id="31"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</w:p>
    <w:p w:rsidR="00AE6BA8" w:rsidRDefault="00AE6BA8" w:rsidP="00AE6BA8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De lege ferenda, apreciem că se impune o modificare a textului legislativ, în sensul introducerii </w:t>
      </w:r>
      <w:r w:rsidR="006B27D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instituției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reabilitării și în materie disciplinară.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</w:p>
    <w:p w:rsidR="00F05AC1" w:rsidRDefault="00F05AC1" w:rsidP="00AE6BA8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Cu privire la cel de-al treilea caz de nedemnitate prevăzut de art.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14 alin.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1 lit. c</w:t>
      </w:r>
      <w:r w:rsidR="004E12C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din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Lege</w:t>
      </w:r>
      <w:r w:rsidR="003745B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, observăm că acesta constituie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și un caz de suspendare a calității de avocat</w:t>
      </w:r>
      <w:r w:rsidR="00E1322F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așa cum prevede</w:t>
      </w:r>
      <w:r w:rsidR="004E12C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art. 27 lit. b) </w:t>
      </w:r>
      <w:proofErr w:type="gramStart"/>
      <w:r w:rsidR="004E12C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din</w:t>
      </w:r>
      <w:proofErr w:type="gramEnd"/>
      <w:r w:rsidR="004E12C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Lege</w:t>
      </w:r>
      <w:r w:rsidR="00080965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eastAsia="ro-RO"/>
        </w:rPr>
        <w:footnoteReference w:id="32"/>
      </w:r>
      <w:r w:rsidR="004E12C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</w:p>
    <w:p w:rsidR="00157BC5" w:rsidRDefault="00E1322F" w:rsidP="00E1322F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="006E37F9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La prima vedere</w:t>
      </w:r>
      <w:r w:rsidR="00153CA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,</w:t>
      </w:r>
      <w:r w:rsidR="006E37F9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plicarea</w:t>
      </w:r>
      <w:r w:rsidR="00157BC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unei pedepse constând în interdicția de </w:t>
      </w:r>
      <w:proofErr w:type="gramStart"/>
      <w:r w:rsidR="00157BC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</w:t>
      </w:r>
      <w:proofErr w:type="gramEnd"/>
      <w:r w:rsidR="00E8243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exercita profesia stabilită prin hotărâre judecăto</w:t>
      </w:r>
      <w:r w:rsidR="006E37F9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rească ne duce cu gândul la pedeapsa complementară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a interzicerii dreptului de </w:t>
      </w:r>
      <w:r w:rsidR="006E37F9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 exercita profesia prevăzută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art.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66 alin.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="00C768E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1</w:t>
      </w:r>
      <w:r w:rsidR="00C768E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lit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 g</w:t>
      </w:r>
      <w:r w:rsidR="00DA79E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) C.pen</w:t>
      </w:r>
      <w:r w:rsidR="00080965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eastAsia="ro-RO"/>
        </w:rPr>
        <w:footnoteReference w:id="33"/>
      </w:r>
      <w:r w:rsidR="00C768E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</w:p>
    <w:p w:rsidR="00C768EC" w:rsidRDefault="006E37F9" w:rsidP="00E1322F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În cazul</w:t>
      </w:r>
      <w:r w:rsidR="00C768E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aplicării unei pedepse </w:t>
      </w:r>
      <w:r w:rsidR="00C15AD9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de interzicere a exercitării profesiei printr-o hotărâre disciplinară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, o situație elocventă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este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cea</w:t>
      </w:r>
      <w:r w:rsidR="0023221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prevăzută de art. </w:t>
      </w:r>
      <w:proofErr w:type="gramStart"/>
      <w:r w:rsidR="0023221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88 alin.</w:t>
      </w:r>
      <w:proofErr w:type="gramEnd"/>
      <w:r w:rsidR="0023221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(1) </w:t>
      </w:r>
      <w:proofErr w:type="gramStart"/>
      <w:r w:rsidR="0023221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lit</w:t>
      </w:r>
      <w:proofErr w:type="gramEnd"/>
      <w:r w:rsidR="00F316B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. d) </w:t>
      </w:r>
      <w:proofErr w:type="gramStart"/>
      <w:r w:rsidR="00F316B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din</w:t>
      </w:r>
      <w:proofErr w:type="gramEnd"/>
      <w:r w:rsidR="00F316B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Lege</w:t>
      </w:r>
      <w:r w:rsidR="00153CA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,</w:t>
      </w:r>
      <w:r w:rsidR="00F316B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care prevede ca</w:t>
      </w:r>
      <w:r w:rsidR="0023221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și </w:t>
      </w:r>
      <w:r w:rsidR="0023221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sancțiune disciplinară interdicția de </w:t>
      </w:r>
      <w:r w:rsidR="00F316B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 exercita profesia pe o perioadă de la o lună la un an</w:t>
      </w:r>
      <w:r w:rsidR="00080965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eastAsia="ro-RO"/>
        </w:rPr>
        <w:footnoteReference w:id="34"/>
      </w:r>
      <w:r w:rsidR="00F316B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. </w:t>
      </w:r>
    </w:p>
    <w:p w:rsidR="00F316B3" w:rsidRDefault="00F316B3" w:rsidP="00E1322F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</w:t>
      </w:r>
      <w:r w:rsidR="00946D8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șadar,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cest caz de nedemnitate profesională suportă o limitare în funcți</w:t>
      </w:r>
      <w:r w:rsidR="006E37F9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e de durata de timp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stabilită prin hotărâ</w:t>
      </w:r>
      <w:r w:rsidR="006E37F9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rea judecătorească sau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di</w:t>
      </w:r>
      <w:r w:rsidR="006E37F9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sciplinară, urmând ca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nedemnitate</w:t>
      </w:r>
      <w:r w:rsidR="006E37F9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 profesională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să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nu mai existe la sfârșitul acestei perioade</w:t>
      </w:r>
      <w:r w:rsidR="00514940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eastAsia="ro-RO"/>
        </w:rPr>
        <w:footnoteReference w:id="35"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</w:p>
    <w:p w:rsidR="00946D82" w:rsidRDefault="00FC59EC" w:rsidP="00E1322F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În literatura de specialitate</w:t>
      </w:r>
      <w:r w:rsidR="00BD2996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eastAsia="ro-RO"/>
        </w:rPr>
        <w:footnoteReference w:id="36"/>
      </w:r>
      <w:r w:rsidR="00BD2996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s-</w:t>
      </w:r>
      <w:proofErr w:type="gramStart"/>
      <w:r w:rsidR="00BD2996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</w:t>
      </w:r>
      <w:proofErr w:type="gramEnd"/>
      <w:r w:rsidR="00BD2996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opinat faptul că interzicerea e</w:t>
      </w:r>
      <w:r w:rsidR="006E37F9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xercitării profesiei nu poate constitui</w:t>
      </w:r>
      <w:r w:rsidR="00BD2996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atât caz de nedemnitate cât și caz de suspendare din profesia de avocat.</w:t>
      </w:r>
    </w:p>
    <w:p w:rsidR="00BD2996" w:rsidRDefault="00BD2996" w:rsidP="0008096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Acest lucru nu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este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posibil întrucât </w:t>
      </w:r>
      <w:r w:rsidR="00D00CC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potrivit art. </w:t>
      </w:r>
      <w:proofErr w:type="gramStart"/>
      <w:r w:rsidR="00D00CC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12 alin.</w:t>
      </w:r>
      <w:proofErr w:type="gramEnd"/>
      <w:r w:rsidR="00D00CC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1 lit. c</w:t>
      </w:r>
      <w:r w:rsidR="00DA79E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)</w:t>
      </w:r>
      <w:r w:rsidR="00D00CC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gramStart"/>
      <w:r w:rsidR="00D00CC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din</w:t>
      </w:r>
      <w:proofErr w:type="gramEnd"/>
      <w:r w:rsidR="00D00CC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Lege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o condiție de fond pentru a dobândi calitatea de avocat este ca solicitantul să nu se afle </w:t>
      </w:r>
      <w:r w:rsidR="00D00CC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în vreunul dintre cazurile de nedemnitate</w:t>
      </w:r>
      <w:r w:rsidR="00C3139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instituite de lege</w:t>
      </w:r>
      <w:r w:rsidR="00D00CC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</w:p>
    <w:p w:rsidR="00D00CC7" w:rsidRDefault="00D00CC7" w:rsidP="00E1322F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Or, pe perioada interdicției de a exercita </w:t>
      </w:r>
      <w:r w:rsidR="006E37F9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profesia constatată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printr-o hotărâre judecătorească</w:t>
      </w:r>
      <w:r w:rsidR="004602B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sau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disciplinară</w:t>
      </w:r>
      <w:r w:rsidR="00C3139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="006E37F9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cel în cauză continuă</w:t>
      </w:r>
      <w:r w:rsidR="004602B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gramStart"/>
      <w:r w:rsidR="004602B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să</w:t>
      </w:r>
      <w:proofErr w:type="gramEnd"/>
      <w:r w:rsidR="004602B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fie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membru al baroului </w:t>
      </w:r>
      <w:r w:rsidR="005C3F8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cât </w:t>
      </w:r>
      <w:r w:rsidR="00C3139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timp </w:t>
      </w:r>
      <w:r w:rsidR="001D296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este suspendat</w:t>
      </w:r>
      <w:r w:rsidR="005C3F8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chiar dacă este nedemn</w:t>
      </w:r>
      <w:r w:rsidR="00080965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eastAsia="ro-RO"/>
        </w:rPr>
        <w:footnoteReference w:id="37"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. </w:t>
      </w:r>
    </w:p>
    <w:p w:rsidR="000434F7" w:rsidRDefault="000434F7" w:rsidP="00E1322F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lastRenderedPageBreak/>
        <w:t xml:space="preserve">Ultimul caz de nedemnitate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este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instituit de art.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14 alin.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(1)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lit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 d)</w:t>
      </w:r>
      <w:r w:rsidR="00732EE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gramStart"/>
      <w:r w:rsidR="00732EE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din</w:t>
      </w:r>
      <w:proofErr w:type="gramEnd"/>
      <w:r w:rsidR="00732EE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Lege</w:t>
      </w:r>
      <w:r w:rsidR="00BD58A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și a fost reintrodus prin Legea nr. 25/2017</w:t>
      </w:r>
      <w:r w:rsidR="00264AA6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eastAsia="ro-RO"/>
        </w:rPr>
        <w:footnoteReference w:id="38"/>
      </w:r>
      <w:r w:rsidR="00BD58A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</w:p>
    <w:p w:rsidR="00E127DF" w:rsidRDefault="00E127DF" w:rsidP="00E1322F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Menționăm că anterior acest caz de nedemnitate fusese instituit tot de art. 14 lit. d)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din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Lege pentru falitul fraudulos chiar și în situația în care a fost reabilitat însă, prin art. 51 din Legea nr.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187/2012 acest text a fost abrogat</w:t>
      </w:r>
      <w:r w:rsidR="00080965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eastAsia="ro-RO"/>
        </w:rPr>
        <w:footnoteReference w:id="39"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  <w:proofErr w:type="gramEnd"/>
    </w:p>
    <w:p w:rsidR="00E127DF" w:rsidRDefault="00E127DF" w:rsidP="00E1322F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Totuși, </w:t>
      </w:r>
      <w:r w:rsidR="00A9473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trimiterea la falitul fraudulos încă există în dispozițiile art.</w:t>
      </w:r>
      <w:proofErr w:type="gramEnd"/>
      <w:r w:rsidR="00A9473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gramStart"/>
      <w:r w:rsidR="00A9473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26 alin.</w:t>
      </w:r>
      <w:proofErr w:type="gramEnd"/>
      <w:r w:rsidR="00A9473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="001D296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(</w:t>
      </w:r>
      <w:r w:rsidR="00A9473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3</w:t>
      </w:r>
      <w:r w:rsidR="001D296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)</w:t>
      </w:r>
      <w:r w:rsidR="00A9473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gramStart"/>
      <w:r w:rsidR="00A9473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din</w:t>
      </w:r>
      <w:proofErr w:type="gramEnd"/>
      <w:r w:rsidR="00A9473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Statut.</w:t>
      </w:r>
    </w:p>
    <w:p w:rsidR="00A94732" w:rsidRDefault="00A94732" w:rsidP="0051494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Astf</w:t>
      </w:r>
      <w:r w:rsidR="0008096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el că, de lege ferenda ar fi necesar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înlăturarea acestei sintagme din cuprinsul textului legal</w:t>
      </w:r>
      <w:r w:rsidR="00264AA6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eastAsia="ro-RO"/>
        </w:rPr>
        <w:footnoteReference w:id="40"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  <w:proofErr w:type="gramEnd"/>
    </w:p>
    <w:p w:rsidR="0057654B" w:rsidRDefault="00A94732" w:rsidP="007835A4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</w:t>
      </w:r>
      <w:r w:rsidR="00BD58A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</w:t>
      </w:r>
      <w:r w:rsidR="007835A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ul</w:t>
      </w:r>
      <w:r w:rsidR="007835A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de nedemnitate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de la lit. d) </w:t>
      </w:r>
      <w:proofErr w:type="gramStart"/>
      <w:r w:rsidR="007835A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este</w:t>
      </w:r>
      <w:proofErr w:type="gramEnd"/>
      <w:r w:rsidR="007835A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alcătuit din două ipoteze</w:t>
      </w:r>
      <w:r w:rsidR="00264AA6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eastAsia="ro-RO"/>
        </w:rPr>
        <w:footnoteReference w:id="41"/>
      </w:r>
      <w:r w:rsidR="007835A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. </w:t>
      </w:r>
    </w:p>
    <w:p w:rsidR="00942E71" w:rsidRDefault="007835A4" w:rsidP="0051494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Prima ipoteză se referă la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cel care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a exercitat fără drept profesia de avocat</w:t>
      </w:r>
      <w:r w:rsidR="00942E7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</w:p>
    <w:p w:rsidR="00942E71" w:rsidRDefault="00942E71" w:rsidP="0008096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Este de menționat faptul că textul de lege se referă atât la exercitarea fără drept a profesiei de către cel care nu are calitatea de avocat cât și de avocații care nu au dreptul de a profesa</w:t>
      </w:r>
      <w:r w:rsidR="006C285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întrucât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le-a fost suspendată</w:t>
      </w:r>
      <w:r w:rsidR="006C285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această calitate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</w:p>
    <w:p w:rsidR="006C285B" w:rsidRDefault="006C285B" w:rsidP="007835A4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Cu privire la acest ultim aspect, precizăm că potrivit art.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53 din Statut, continuarea exercitării profesiei în timpul suspendării reprezintă o abatere disciplinară gravă.</w:t>
      </w:r>
    </w:p>
    <w:p w:rsidR="006C285B" w:rsidRDefault="00150068" w:rsidP="0051494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Mai mult decât atât, art.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30 alin.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(3) din Statut prevede faptul că exercitarea profesiei după ce a intervenit unul din cazurile de incompatibilitate</w:t>
      </w:r>
      <w:r w:rsidR="008404B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reprezintă exercitarea fără drept a profesiei de avocat, fiind totodată și o abatere disciplinară gravă ce se sancționează cu excluderea din profesie</w:t>
      </w:r>
      <w:r w:rsidR="00080965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eastAsia="ro-RO"/>
        </w:rPr>
        <w:footnoteReference w:id="42"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</w:p>
    <w:p w:rsidR="004052F8" w:rsidRDefault="004052F8" w:rsidP="0051494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ab/>
        <w:t>De asemenea, actele specifice profesiei de avocat efectuate de</w:t>
      </w:r>
      <w:r w:rsidR="008A360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c</w:t>
      </w:r>
      <w:r w:rsidR="008A360B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ătre</w:t>
      </w:r>
      <w:bookmarkStart w:id="1" w:name="_GoBack"/>
      <w:bookmarkEnd w:id="1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cel care nu are această calitate sunt lovite de nulitate</w:t>
      </w:r>
      <w:r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eastAsia="ro-RO"/>
        </w:rPr>
        <w:footnoteReference w:id="43"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</w:p>
    <w:p w:rsidR="007835A4" w:rsidRDefault="006C285B" w:rsidP="007835A4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A</w:t>
      </w:r>
      <w:r w:rsidR="0015006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doua ipoteză se referă</w:t>
      </w:r>
      <w:r w:rsidR="009E23D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la</w:t>
      </w:r>
      <w:r w:rsidR="0015006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situația în care</w:t>
      </w:r>
      <w:r w:rsidR="009E23D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cel </w:t>
      </w:r>
      <w:r w:rsidR="0015006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în cauză</w:t>
      </w:r>
      <w:r w:rsidR="009E23D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a sprijinit sub orice formă exercitarea fără drept a profesiei de avocat de către o</w:t>
      </w:r>
      <w:r w:rsidR="001D296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anumită</w:t>
      </w:r>
      <w:r w:rsidR="009E23D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persoană</w:t>
      </w:r>
      <w:r w:rsidR="00264AA6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eastAsia="ro-RO"/>
        </w:rPr>
        <w:footnoteReference w:id="44"/>
      </w:r>
      <w:r w:rsidR="009E23D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</w:p>
    <w:p w:rsidR="009A3944" w:rsidRDefault="00FD569D" w:rsidP="007835A4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P</w:t>
      </w:r>
      <w:r w:rsidR="0008096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otrivit art.</w:t>
      </w:r>
      <w:proofErr w:type="gramEnd"/>
      <w:r w:rsidR="0008096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gramStart"/>
      <w:r w:rsidR="0008096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41</w:t>
      </w:r>
      <w:r w:rsidR="00080965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o-RO"/>
        </w:rPr>
        <w:t>1</w:t>
      </w:r>
      <w:r w:rsidR="009A394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alin.</w:t>
      </w:r>
      <w:proofErr w:type="gramEnd"/>
      <w:r w:rsidR="009A394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(1) </w:t>
      </w:r>
      <w:proofErr w:type="gramStart"/>
      <w:r w:rsidR="009A394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din</w:t>
      </w:r>
      <w:proofErr w:type="gramEnd"/>
      <w:r w:rsidR="009A394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Statut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, avocatului îi este interzis ca în exercitarea activităților profesionale</w:t>
      </w:r>
      <w:r w:rsidR="005052EF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să aibă colaborări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cu persoane fizice sau juridice care efectuează fără drept activități specifice profesiei de avocat.</w:t>
      </w:r>
    </w:p>
    <w:p w:rsidR="005052EF" w:rsidRPr="00FD569D" w:rsidRDefault="005052EF" w:rsidP="0008096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lastRenderedPageBreak/>
        <w:t>Menționăm că nerespectarea acestei obligații se sancționează disciplinar cu excluderea din profesie</w:t>
      </w:r>
      <w:r w:rsidR="00080965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eastAsia="ro-RO"/>
        </w:rPr>
        <w:footnoteReference w:id="45"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  <w:proofErr w:type="gramEnd"/>
    </w:p>
    <w:p w:rsidR="004E12C7" w:rsidRPr="00052962" w:rsidRDefault="00153CAE" w:rsidP="00FD569D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Pentru a fi în prezența</w:t>
      </w:r>
      <w:r w:rsidR="0015006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="002B703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cazului </w:t>
      </w:r>
      <w:r w:rsidR="00217A1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de nedemnitate</w:t>
      </w:r>
      <w:r w:rsidR="002B703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prevăzut de art.</w:t>
      </w:r>
      <w:proofErr w:type="gramEnd"/>
      <w:r w:rsidR="002B703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gramStart"/>
      <w:r w:rsidR="002B703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14 alin.</w:t>
      </w:r>
      <w:proofErr w:type="gramEnd"/>
      <w:r w:rsidR="002B703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(1) </w:t>
      </w:r>
      <w:proofErr w:type="gramStart"/>
      <w:r w:rsidR="002B703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lit</w:t>
      </w:r>
      <w:proofErr w:type="gramEnd"/>
      <w:r w:rsidR="002B703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. d) </w:t>
      </w:r>
      <w:proofErr w:type="gramStart"/>
      <w:r w:rsidR="002B703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din</w:t>
      </w:r>
      <w:proofErr w:type="gramEnd"/>
      <w:r w:rsidR="002B703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Lege</w:t>
      </w:r>
      <w:r w:rsidR="00217A1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imperios necesar </w:t>
      </w:r>
      <w:r w:rsidR="00217A1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</w:t>
      </w:r>
      <w:r w:rsidR="005846A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 faptele care atrag nedemnitat</w:t>
      </w:r>
      <w:r w:rsidR="00217A1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ea să fie constatate</w:t>
      </w:r>
      <w:r w:rsidR="005846A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,</w:t>
      </w:r>
      <w:r w:rsidR="00217A1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fie printr-o hotărâre judecătorească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definitive,</w:t>
      </w:r>
      <w:r w:rsidR="00217A1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fie prin acte ale organelor profesiei de avocat</w:t>
      </w:r>
      <w:r w:rsidR="00264AA6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eastAsia="ro-RO"/>
        </w:rPr>
        <w:footnoteReference w:id="46"/>
      </w:r>
      <w:r w:rsidR="00217A1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</w:p>
    <w:p w:rsidR="00661F15" w:rsidRDefault="005052EF" w:rsidP="001B0961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Am remarcat</w:t>
      </w:r>
      <w:r w:rsidR="0000115B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faptul că t</w:t>
      </w:r>
      <w:r w:rsidR="00661F15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oate cazurile de nedemnitate inserate în cuprinsul art. 14 din Lege </w:t>
      </w:r>
      <w:r w:rsidR="003545B9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au la bază câte o hotărâre care să consfințească existența</w:t>
      </w:r>
      <w:r w:rsidR="000C2CFF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situațiilor</w:t>
      </w:r>
      <w:r w:rsidR="003545B9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care au dus la nedemnitatea avocatului.</w:t>
      </w:r>
    </w:p>
    <w:p w:rsidR="000C2CFF" w:rsidRDefault="00A35D28" w:rsidP="00C522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O</w:t>
      </w:r>
      <w:r w:rsidR="003D1E7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bservăm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însă</w:t>
      </w:r>
      <w:r w:rsidR="003D1E7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că nu în toate cazurile de n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edemnitate este </w:t>
      </w:r>
      <w:r w:rsidR="00C31394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stipulat</w:t>
      </w:r>
      <w:r w:rsidR="003D1E7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  <w:r w:rsidR="00153CAE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expres </w:t>
      </w:r>
      <w:r w:rsidR="003D1E7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ca hotărârea să fie și </w:t>
      </w:r>
      <w:r w:rsidR="00AB1F83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definitivă, ci doar în cazurile de nedemnitate prevăzute la art. 14 lit. a</w:t>
      </w:r>
      <w:r w:rsidR="00DA79EE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)</w:t>
      </w:r>
      <w:r w:rsidR="00AB1F83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și lit. d</w:t>
      </w:r>
      <w:r w:rsidR="00DA79EE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)</w:t>
      </w:r>
      <w:r w:rsidR="00AB1F83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din Lege</w:t>
      </w:r>
      <w:r w:rsidR="00C5224C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footnoteReference w:id="47"/>
      </w:r>
      <w:r w:rsidR="00AB1F83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.</w:t>
      </w:r>
    </w:p>
    <w:p w:rsidR="00D032C7" w:rsidRDefault="00657F92" w:rsidP="00FA44BA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În doctrină</w:t>
      </w:r>
      <w:r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footnoteReference w:id="48"/>
      </w:r>
      <w:r w:rsidR="00690909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s-a considerat </w:t>
      </w:r>
      <w:r w:rsidR="00A35D28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totuși</w:t>
      </w:r>
      <w:r w:rsidR="001D296D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,</w:t>
      </w:r>
      <w:r w:rsidR="00A35D28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  <w:r w:rsidR="00690909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că în toate cazurile de nedemnitate </w:t>
      </w:r>
      <w:r w:rsidR="00C27347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hotărârea </w:t>
      </w:r>
      <w:r w:rsidR="00690909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trebuie </w:t>
      </w:r>
      <w:r w:rsidR="00C27347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înțelesă ca fiind definitivă</w:t>
      </w:r>
      <w:r w:rsidR="00153CAE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,</w:t>
      </w:r>
      <w:r w:rsidR="00C27347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chiar și în situația existenței unei hotărâri în materie disciplinară, așa cum prevede art. 14 lit. c</w:t>
      </w:r>
      <w:r w:rsidR="00DA79EE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)</w:t>
      </w:r>
      <w:r w:rsidR="00C27347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din Lege.</w:t>
      </w:r>
    </w:p>
    <w:p w:rsidR="00FC73C1" w:rsidRPr="00297B55" w:rsidRDefault="00FC73C1" w:rsidP="00FA44BA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De lege ferenda, se impune </w:t>
      </w:r>
      <w:r w:rsidR="001D296D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o clarificare și </w:t>
      </w:r>
      <w:r w:rsidR="00A35D28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în privința celorlalte </w:t>
      </w:r>
      <w:r w:rsidR="00F91368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două </w:t>
      </w:r>
      <w:r w:rsidR="00A35D28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cazuri de nedemnitate</w:t>
      </w:r>
      <w:r w:rsidR="00F91368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prevăzute de art. 14 alin. (1)  lit. b) și c) </w:t>
      </w:r>
      <w:r w:rsidR="00A35D28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  <w:r w:rsidR="00F91368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din Lege, </w:t>
      </w:r>
      <w:r w:rsidR="00A35D28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î</w:t>
      </w:r>
      <w:r w:rsidR="00F91368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n </w:t>
      </w:r>
      <w:r w:rsidR="001D296D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sensul introducerii caracterului definitiv al hotărârii.</w:t>
      </w:r>
    </w:p>
    <w:p w:rsidR="00675992" w:rsidRPr="00937C8B" w:rsidRDefault="00675992" w:rsidP="00CA72B0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:rsidR="009E768B" w:rsidRDefault="00BB71E0" w:rsidP="001D296D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D8577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Secțiunea a 2-a</w:t>
      </w:r>
      <w:r w:rsidR="00D85775" w:rsidRPr="00D8577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.</w:t>
      </w:r>
      <w:r w:rsidR="00A77E4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Obligațiile avocaților </w:t>
      </w:r>
      <w:r w:rsidR="00D8577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cu privire la nedemnitate</w:t>
      </w:r>
    </w:p>
    <w:p w:rsidR="001D296D" w:rsidRDefault="001D296D" w:rsidP="001D296D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E4420C" w:rsidRDefault="001D296D" w:rsidP="001074A9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Pentru buna funcționare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exercitării profesiei de avocat, legea impune o serie de obligații fundamentale </w:t>
      </w:r>
      <w:r w:rsidR="00E4420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în sarcina acestora</w:t>
      </w:r>
      <w:r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eastAsia="ro-RO"/>
        </w:rPr>
        <w:footnoteReference w:id="49"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="00E4420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</w:p>
    <w:p w:rsidR="001D296D" w:rsidRDefault="00E4420C" w:rsidP="001074A9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Unele d</w:t>
      </w:r>
      <w:r w:rsidR="0030216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intre aceste îndatoriri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se regăsesc și în ceea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ce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privește</w:t>
      </w:r>
      <w:r w:rsidR="001D296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nedemnitate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</w:t>
      </w:r>
      <w:r w:rsidR="001D296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profesională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</w:p>
    <w:p w:rsidR="00B2675F" w:rsidRDefault="00E4420C" w:rsidP="006D128A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De aceea, a</w:t>
      </w:r>
      <w:r w:rsidR="00B2675F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rt. 26 alin. (3)</w:t>
      </w:r>
      <w:r w:rsidR="00376E6B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indice 1</w:t>
      </w:r>
      <w:r w:rsidR="00B2675F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din Statut</w:t>
      </w:r>
      <w:r w:rsidR="00C91576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footnoteReference w:id="50"/>
      </w:r>
      <w:r w:rsidR="00B2675F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stabilește obligațiile avocaților cu privire la existența </w:t>
      </w:r>
      <w:r w:rsidR="001074A9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cazurilor de nedemnitat</w:t>
      </w:r>
      <w:r w:rsidR="00454A53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e</w:t>
      </w:r>
      <w:r w:rsidR="001D296D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prevăzute de art. 14 din Lege</w:t>
      </w:r>
      <w:r w:rsidR="0014379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a nr</w:t>
      </w:r>
      <w:r w:rsidR="00B2675F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.</w:t>
      </w:r>
      <w:r w:rsidR="00716CAA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  <w:r w:rsidR="0014379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51/1995.</w:t>
      </w:r>
    </w:p>
    <w:p w:rsidR="00C31394" w:rsidRDefault="00C91576" w:rsidP="006D128A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lastRenderedPageBreak/>
        <w:t>Astfel, p</w:t>
      </w:r>
      <w:r w:rsidR="00B2675F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otrivit textului de lege, </w:t>
      </w:r>
      <w:r w:rsidR="006D128A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avocații au obligația principală de a aduce la cunoștința baroului hotărârile judecătorești prin care</w:t>
      </w:r>
      <w:r w:rsidR="000E2815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  <w:r w:rsidR="006D128A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au fost condamnați definitiv la pedeapsa închisorii pentru o infracțiune intenționată </w:t>
      </w:r>
      <w:r w:rsidR="000E2815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de natură să aducă atingere prestigiului profesiei. </w:t>
      </w:r>
    </w:p>
    <w:p w:rsidR="00C03E42" w:rsidRDefault="000E2815" w:rsidP="00C03E42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De asemenea, avocații sunt obligați să încunoștințeze baroul despre existența oricărei hotărâri prin care </w:t>
      </w:r>
      <w:r w:rsidR="00CF5EC4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le-a fost </w:t>
      </w:r>
      <w:r w:rsidR="00170323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aplicată pedeapsa interdicție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  <w:r w:rsidR="00170323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de a exercita profesia, prin care au fost declarați faliți frauduloși sau prin care au fost condamnați definitiv pentru </w:t>
      </w:r>
      <w:r w:rsidR="00AE1DC0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fapte săvârșite în legătură cu exercitarea profesiei</w:t>
      </w:r>
      <w:r w:rsidR="0060279F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footnoteReference w:id="51"/>
      </w:r>
      <w:r w:rsidR="0060279F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</w:p>
    <w:p w:rsidR="0030216B" w:rsidRDefault="0030216B" w:rsidP="00924CC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:rsidR="00514940" w:rsidRDefault="00514940" w:rsidP="00924CC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:rsidR="00514940" w:rsidRDefault="00514940" w:rsidP="00924CC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:rsidR="00514940" w:rsidRDefault="00514940" w:rsidP="00924CC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:rsidR="007D488E" w:rsidRDefault="00E4420C" w:rsidP="007D488E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Secțiunea a 3</w:t>
      </w:r>
      <w:r w:rsidR="007D488E" w:rsidRPr="007D488E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-a.</w:t>
      </w:r>
      <w:r w:rsidR="002B48C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Procedura în cadrul</w:t>
      </w:r>
      <w:r w:rsidR="00D33B4E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Consiliului b</w:t>
      </w:r>
      <w:r w:rsidR="007D488E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aroului</w:t>
      </w:r>
    </w:p>
    <w:p w:rsidR="00A41DCC" w:rsidRDefault="00A41DCC" w:rsidP="007D488E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6F4AE7" w:rsidRDefault="00D33B4E" w:rsidP="007D488E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</w:t>
      </w:r>
      <w:r w:rsidR="00DC0F99" w:rsidRPr="00DC0F99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azurile de nedemnitate </w:t>
      </w:r>
      <w:r w:rsidR="00C0567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sunt </w:t>
      </w:r>
      <w:r w:rsidR="00FE2986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verificate</w:t>
      </w:r>
      <w:r w:rsidR="00F6273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de către Consiliul baroului </w:t>
      </w:r>
      <w:r w:rsidR="00FE2986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la primirea în profesie, </w:t>
      </w:r>
      <w:r w:rsidR="00F6273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apoi ori de câte ori se solicit</w:t>
      </w:r>
      <w:r w:rsidR="000F481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ă</w:t>
      </w:r>
      <w:r w:rsidR="00FE2986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reînscrierea în tabloul avocaților cu drept de exercitare a profesiei dar și pe tot parcursul exercitării profesiei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noastre</w:t>
      </w:r>
      <w:r w:rsidR="00AD0D6D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eastAsia="ro-RO"/>
        </w:rPr>
        <w:footnoteReference w:id="52"/>
      </w:r>
      <w:r w:rsidR="00FE2986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  <w:proofErr w:type="gramEnd"/>
    </w:p>
    <w:p w:rsidR="00E20AE6" w:rsidRDefault="004F62F2" w:rsidP="007D488E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Procedura de verificare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este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cea reglementată de art.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17 alin.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(5)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din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Statut</w:t>
      </w:r>
      <w:r w:rsidR="003F107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care prevede faptul că</w:t>
      </w:r>
      <w:r w:rsidR="005C692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="00DA0D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în 3 zile de la înregistrarea cererii</w:t>
      </w:r>
      <w:r w:rsidR="003F107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de primire în profesie</w:t>
      </w:r>
      <w:r w:rsidR="00DA0D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, Consiliul Baroului procedează la efectuarea de verificări</w:t>
      </w:r>
      <w:r w:rsidR="00705D1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,</w:t>
      </w:r>
      <w:r w:rsidR="00DA0D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="000F481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sens în care decanul</w:t>
      </w:r>
      <w:r w:rsidR="00DB6A5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baroului</w:t>
      </w:r>
      <w:r w:rsidR="000F481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numește din rândul consilierilor</w:t>
      </w:r>
      <w:r w:rsidR="009E768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,</w:t>
      </w:r>
      <w:r w:rsidR="000F481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="00C052EF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un membru care este avocat raportor</w:t>
      </w:r>
      <w:r w:rsidR="00E20AE6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</w:p>
    <w:p w:rsidR="00AF6F75" w:rsidRDefault="00E20AE6" w:rsidP="00C522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Acesta</w:t>
      </w:r>
      <w:r w:rsidR="00C052EF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gramStart"/>
      <w:r w:rsidR="00C052EF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va</w:t>
      </w:r>
      <w:proofErr w:type="gramEnd"/>
      <w:r w:rsidR="00C052EF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="00014FA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realiza toate investigațiile care</w:t>
      </w:r>
      <w:r w:rsidR="009E768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sunt necesare chiar și în situația</w:t>
      </w:r>
      <w:r w:rsidR="00014FA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în care se solicită reînscrierea în tabloul avocaților cu drept de exercitare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a profesiei</w:t>
      </w:r>
      <w:r w:rsidR="00723516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eastAsia="ro-RO"/>
        </w:rPr>
        <w:footnoteReference w:id="53"/>
      </w:r>
      <w:r w:rsidR="00014FA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</w:p>
    <w:p w:rsidR="003F1072" w:rsidRDefault="003F1072" w:rsidP="007D488E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Avocatul raport</w:t>
      </w:r>
      <w:r w:rsidR="000973C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or cercetează dacă cel care solicită primirea în profesie sau reînscrierea în tabloul avocaților cu drept de exercitare a profesiei se află în cazul de nedemni</w:t>
      </w:r>
      <w:r w:rsidR="00705D1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tate prevăzut de art. 14 lit. b) </w:t>
      </w:r>
      <w:proofErr w:type="gramStart"/>
      <w:r w:rsidR="00705D1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teza</w:t>
      </w:r>
      <w:proofErr w:type="gramEnd"/>
      <w:r w:rsidR="00705D1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a II-a </w:t>
      </w:r>
      <w:r w:rsidR="00F45E99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</w:t>
      </w:r>
      <w:r w:rsidR="00705D1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in Lege </w:t>
      </w:r>
      <w:r w:rsidR="00652B2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și anume</w:t>
      </w:r>
      <w:r w:rsidR="00F45E99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,</w:t>
      </w:r>
      <w:r w:rsidR="00705D1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dacă a săvârșit abateri disciplinare grave sancționate cu măsura excluderii din profesie</w:t>
      </w:r>
      <w:r w:rsidR="001A4CA8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eastAsia="ro-RO"/>
        </w:rPr>
        <w:footnoteReference w:id="54"/>
      </w:r>
      <w:r w:rsidR="00705D1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</w:p>
    <w:p w:rsidR="00705D18" w:rsidRDefault="00705D18" w:rsidP="007D488E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De asemenea, această procedură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este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valabilă și în situația în care </w:t>
      </w:r>
      <w:r w:rsidR="00F45E99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se fac verificări </w:t>
      </w:r>
      <w:r w:rsidR="00C0567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pentru a se stabili dacă solicitantul se află în cazul de nedemnitate de la art. 14 lit. d) </w:t>
      </w:r>
      <w:proofErr w:type="gramStart"/>
      <w:r w:rsidR="00C0567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din</w:t>
      </w:r>
      <w:proofErr w:type="gramEnd"/>
      <w:r w:rsidR="00C0567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Lege respectiv, </w:t>
      </w:r>
      <w:r w:rsidR="00C0567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lastRenderedPageBreak/>
        <w:t xml:space="preserve">dacă </w:t>
      </w:r>
      <w:r w:rsidR="0056068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acesta a exercitat sau </w:t>
      </w:r>
      <w:r w:rsidR="004F62F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a </w:t>
      </w:r>
      <w:r w:rsidR="0056068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sprijinit sub orice formă, exercitarea fără drept de către o persoană a profesiei de avocat iar acest fapt a fost constat prin acte ale organelor de profesie</w:t>
      </w:r>
      <w:r w:rsidR="00F1471D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eastAsia="ro-RO"/>
        </w:rPr>
        <w:footnoteReference w:id="55"/>
      </w:r>
      <w:r w:rsidR="0056068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. </w:t>
      </w:r>
    </w:p>
    <w:p w:rsidR="004854B7" w:rsidRDefault="004150FE" w:rsidP="003B45D1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Prin Ho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tărârea Consiliului U.N.B.R. nr. 428/2018</w:t>
      </w:r>
      <w:r w:rsidR="006B0C65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footnoteReference w:id="56"/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s-au introdus noi modificări ale art. 26 din Statut.</w:t>
      </w:r>
    </w:p>
    <w:p w:rsidR="004150FE" w:rsidRDefault="004150FE" w:rsidP="007D488E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Ast</w:t>
      </w:r>
      <w:r w:rsidR="00573A09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fel, potrivit art. 26 alin. (3</w:t>
      </w:r>
      <w:r w:rsidR="00C44C7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ro-RO" w:eastAsia="ro-RO"/>
        </w:rPr>
        <w:t>1</w:t>
      </w:r>
      <w:r w:rsidR="00573A09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  <w:r w:rsidR="009D276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din Statut</w:t>
      </w:r>
      <w:r w:rsidR="009F0E6B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footnoteReference w:id="57"/>
      </w:r>
      <w:r w:rsidR="00A55E4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,</w:t>
      </w:r>
      <w:r w:rsidR="009D276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în cazul reînscrierii în tabloul avocaților cu drept de exercitare a profesiei dar și pe parcursul întregii exercitări a profesiei, ver</w:t>
      </w:r>
      <w:r w:rsidR="00281F8E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ificarea nedemnității profesionale se va realiza atât la plângerea persoanei interesate cât și din oficiu. </w:t>
      </w:r>
    </w:p>
    <w:p w:rsidR="00281F8E" w:rsidRDefault="00281F8E" w:rsidP="0072351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În acest caz, plângerea se adresează fie consiliului baroului pe al cărui tablou este trecut avocatul cu drept de exercitare a profesiei</w:t>
      </w:r>
      <w:r w:rsidR="00680F65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fie direct baroului </w:t>
      </w:r>
      <w:r w:rsidR="00680F65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pe al cărui tablou este înscris sau a fost înscris avocatul în situația în care acesta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este pensionar în continuarea activității sau incompatibil</w:t>
      </w:r>
      <w:r w:rsidR="00680F65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.</w:t>
      </w:r>
    </w:p>
    <w:p w:rsidR="00680F65" w:rsidRDefault="00680F65" w:rsidP="007D488E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De asemenea, </w:t>
      </w:r>
      <w:r w:rsidR="00C44C78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conform art. 26 alin. (3</w:t>
      </w:r>
      <w:r w:rsidR="00C44C7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ro-RO" w:eastAsia="ro-RO"/>
        </w:rPr>
        <w:t>3</w:t>
      </w:r>
      <w:r w:rsidR="00C44C78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) din Statut,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consiliul baroului poate fi sesizat și în condițiile art. 85 alin. </w:t>
      </w:r>
      <w:r w:rsidR="00705937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2</w:t>
      </w:r>
      <w:r w:rsidR="00705937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 și </w:t>
      </w:r>
      <w:r w:rsidR="00705937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alin.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3</w:t>
      </w:r>
      <w:r w:rsidR="00705937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din Lege respectiv</w:t>
      </w:r>
      <w:r w:rsidR="0032136F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de către avocatul responsabil de asistența judiciară de pe lângă fieca</w:t>
      </w:r>
      <w:r w:rsidR="0032136F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re instanță sau chiar de instanțele de judecată și Ministerul Public atunci când iau la cunoștință despre existența unei plângeri sau acțiuni împotriva unui membru al baroului</w:t>
      </w:r>
      <w:r w:rsidR="00F40EC8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footnoteReference w:id="58"/>
      </w:r>
      <w:r w:rsidR="0032136F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.</w:t>
      </w:r>
    </w:p>
    <w:p w:rsidR="0032136F" w:rsidRDefault="0032136F" w:rsidP="007D488E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Un alt element de noutate este și faptul că în 3 zile de la verificarea cazului de nedemnitate se vor solicita relații de la U.N.B.R</w:t>
      </w:r>
      <w:r w:rsidR="003F3DB2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de la barouri sau de la instituții referitoare la avocatul verificat</w:t>
      </w:r>
      <w:r w:rsidR="00F40EC8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footnoteReference w:id="59"/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.</w:t>
      </w:r>
    </w:p>
    <w:p w:rsidR="003B45D1" w:rsidRDefault="00D416CD" w:rsidP="003B45D1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H</w:t>
      </w:r>
      <w:r w:rsidR="003B45D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otărâri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le</w:t>
      </w:r>
      <w:r w:rsidR="003B45D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judecătorești precum și înscrisurile care atestă condițiile de încetare a profesiei exercitate de cel înscris pe tabloul avocaților incompatibili  vor fi </w:t>
      </w:r>
      <w:r w:rsidR="00E4420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de asemenea, </w:t>
      </w:r>
      <w:r w:rsidR="003B45D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suspuse examinării de către Consiliul  baroului în termen de 15 zile</w:t>
      </w:r>
      <w:r w:rsidR="00E4420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, urmând ca mai apoi Consiliul b</w:t>
      </w:r>
      <w:r w:rsidR="003B45D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aroului să statueze asupra demnității avocatului printr-o Decizie motivată.</w:t>
      </w:r>
    </w:p>
    <w:p w:rsidR="003B45D1" w:rsidRDefault="000350E9" w:rsidP="0072351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lastRenderedPageBreak/>
        <w:t>În cele din urmă</w:t>
      </w:r>
      <w:r w:rsidR="003B45D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, Consiliul baroului va stabili fie menținerea</w:t>
      </w:r>
      <w:r w:rsidR="00B3257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,</w:t>
      </w:r>
      <w:r w:rsidR="003B45D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fie încetarea calității de avocat</w:t>
      </w:r>
      <w:r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eastAsia="ro-RO"/>
        </w:rPr>
        <w:footnoteReference w:id="60"/>
      </w:r>
      <w:r w:rsidR="003B45D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</w:p>
    <w:p w:rsidR="003B45D1" w:rsidRDefault="003B45D1" w:rsidP="003B45D1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Decizia luată de consiliu împreună cu hotărârea judecătorească sau după caz cu înscrisurile care au stat la baza verificării nedemnității se comunică în 15 zile atât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avocatului  examinat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cât și președintelui U.N.B.R.</w:t>
      </w:r>
    </w:p>
    <w:p w:rsidR="003B45D1" w:rsidRDefault="000350E9" w:rsidP="00355C7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Aceștia </w:t>
      </w:r>
      <w:r w:rsidR="003B45D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o pot ataca la rândul lor într-un termen de 15 zile de la comuni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care, revenind </w:t>
      </w:r>
      <w:r w:rsidR="003B45D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Consiliului U.N.B.R privilegiul de a hotărî asupra contestației formulate în cauză</w:t>
      </w:r>
      <w:r w:rsidR="003B45D1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eastAsia="ro-RO"/>
        </w:rPr>
        <w:footnoteReference w:id="61"/>
      </w:r>
      <w:r w:rsidR="003B45D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</w:p>
    <w:p w:rsidR="003B45D1" w:rsidRPr="003B45D1" w:rsidRDefault="00E4420C" w:rsidP="003B45D1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Tot aici</w:t>
      </w:r>
      <w:r w:rsidR="003B45D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, </w:t>
      </w:r>
      <w:proofErr w:type="gramStart"/>
      <w:r w:rsidR="003B45D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un</w:t>
      </w:r>
      <w:proofErr w:type="gramEnd"/>
      <w:r w:rsidR="003B45D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aspect important este faptul</w:t>
      </w:r>
      <w:r w:rsidR="00C3139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că Decizia luată de Consiliul b</w:t>
      </w:r>
      <w:r w:rsidR="003B45D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aroului cu privire la încetarea calității de avocat este executorie, în acest scop baroul va efectua mențiunile necesare în tabloul avocaților</w:t>
      </w:r>
      <w:r w:rsidR="003B45D1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eastAsia="ro-RO"/>
        </w:rPr>
        <w:footnoteReference w:id="62"/>
      </w:r>
      <w:r w:rsidR="003B45D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</w:p>
    <w:p w:rsidR="001F7F58" w:rsidRDefault="003B45D1" w:rsidP="00C31394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În continuare, </w:t>
      </w:r>
      <w:r w:rsidR="00C31394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în ceea ce privește verificarea c</w:t>
      </w:r>
      <w:r w:rsidR="00E4420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azurilor de nedemnitate</w:t>
      </w:r>
      <w:r w:rsidR="00C31394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la </w:t>
      </w:r>
      <w:r w:rsidR="00E4420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momentul reprimirii</w:t>
      </w:r>
      <w:r w:rsidR="00C31394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în profesie precum și pe parcursul exercitării acesteia,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a</w:t>
      </w:r>
      <w:r w:rsidR="00A859D4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rt. 26</w:t>
      </w:r>
      <w:r w:rsidR="00A859D4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ro-RO" w:eastAsia="ro-RO"/>
        </w:rPr>
        <w:t>1</w:t>
      </w:r>
      <w:r w:rsidR="001F7F58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alin. (</w:t>
      </w:r>
      <w:r w:rsidR="00F024D3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2) din Statut prevede </w:t>
      </w:r>
      <w:r w:rsidR="00E4420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tot cu titlu inovativ</w:t>
      </w:r>
      <w:r w:rsidR="00291EDA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,</w:t>
      </w:r>
      <w:r w:rsidR="00E4420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  <w:r w:rsidR="00F024D3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posibilitatea consilierului numit pentru a face investigațiile necesare  de a se abține sau chiar de a fi recuzat de cel supus verificării. În ultima situație, cererea se face în scris și se judecă de către consiliul baroului fără participarea consilierului</w:t>
      </w:r>
      <w:r w:rsidR="00DD54BB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footnoteReference w:id="63"/>
      </w:r>
      <w:r w:rsidR="00F024D3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.</w:t>
      </w:r>
    </w:p>
    <w:p w:rsidR="00F024D3" w:rsidRDefault="00F024D3" w:rsidP="007D488E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În ipoteza în care cel supus verificării nedemnității profesionale este chiar decanul baroului, acesta nu va putea fi prezent în ședința consiliului iar atribuțiile care îi reveneau </w:t>
      </w:r>
      <w:r w:rsidR="00737EE2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acestuia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vor fi exercitate de prodecan.</w:t>
      </w:r>
    </w:p>
    <w:p w:rsidR="00F024D3" w:rsidRDefault="00737EE2" w:rsidP="00355C7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Nici în</w:t>
      </w:r>
      <w:r w:rsidR="00F024D3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situația în care este supus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verificării unul dintre consilierii baroului, acesta nu va putea fi prezent în ședința consiliului din cadrul acestei proceduri</w:t>
      </w:r>
      <w:r w:rsidR="00DD54BB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footnoteReference w:id="64"/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.</w:t>
      </w:r>
    </w:p>
    <w:p w:rsidR="00737EE2" w:rsidRDefault="00737EE2" w:rsidP="007D488E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Tot ca o noutate adusă procedurii este și faptul că avocatul verificat pentru nedemnitate profesională va fi convocat, în scris, printr-o scrisoare recomandată cu confirmare de primire expediată la adresa sediului profesional.</w:t>
      </w:r>
      <w:r w:rsidR="007D275A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Acesta va putea fi convocat și în scris printr-mijloc de comunicare sau prin luarea la cunoștință sub semnătură.</w:t>
      </w:r>
    </w:p>
    <w:p w:rsidR="00A55E41" w:rsidRDefault="00A55E41" w:rsidP="00355C7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Așadar, verificarea cazului de nedemnitate se face doar cu înștiințarea celui în cauză, care ia la cunoștință despre plângere sau sesizare</w:t>
      </w:r>
      <w:r w:rsidR="007102A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, acesta având posibilitatea de a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da explicații </w:t>
      </w:r>
      <w:r w:rsidR="007102A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în scris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. </w:t>
      </w:r>
    </w:p>
    <w:p w:rsidR="007102A1" w:rsidRDefault="007102A1" w:rsidP="00355C7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lastRenderedPageBreak/>
        <w:t xml:space="preserve">În cazul în care cel anchetat refuză convocarea sau nu se conformează solicitărilor organului care îl verifică, el încalcă o obligație </w:t>
      </w:r>
      <w:r w:rsidR="00AE56FD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profesională care nu este de natură să împiedice continuarea procedurii</w:t>
      </w:r>
      <w:r w:rsidR="00DD54BB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footnoteReference w:id="65"/>
      </w:r>
      <w:r w:rsidR="00AE56FD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.</w:t>
      </w:r>
    </w:p>
    <w:p w:rsidR="009D2761" w:rsidRDefault="00AE56FD" w:rsidP="005A094D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La sfârșitul procedurii, consilierul desemnat </w:t>
      </w:r>
      <w:r w:rsidR="007A1240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redactează un referat care va cuprinde descrierea faptelor, probele care au fost administrate, poziția avocatului precum și o propunere în vederea soluționării plângerii respectiv</w:t>
      </w:r>
      <w:r w:rsidR="009F0E6B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,</w:t>
      </w:r>
      <w:r w:rsidR="007A1240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sesizării.</w:t>
      </w:r>
    </w:p>
    <w:p w:rsidR="00C31394" w:rsidRDefault="00181BE4" w:rsidP="00355C7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Consiliul baroului verifică cazul de nedemnitate pe baza referatului dar și a înscrisurilor pe baza cărora a fost întocmit. </w:t>
      </w:r>
    </w:p>
    <w:p w:rsidR="00181BE4" w:rsidRDefault="00181BE4" w:rsidP="00355C7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În acest scop, avocatul supus verificării poate fi convocat de către consiliu pentru audierea sa, refuzul de a se prezenta nu împiedică continuarea procedurii</w:t>
      </w:r>
      <w:r w:rsidR="00DD54BB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footnoteReference w:id="66"/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.</w:t>
      </w:r>
    </w:p>
    <w:p w:rsidR="00F272D0" w:rsidRDefault="00F272D0" w:rsidP="00F272D0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În urma verificărilor, </w:t>
      </w:r>
      <w:r w:rsidR="00A250B4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consiliul baroului </w:t>
      </w:r>
      <w:r w:rsidR="009F0E6B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va emite o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Decizie scrisă</w:t>
      </w:r>
      <w:r w:rsidR="00A250B4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și motivată în fapt și în drept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  <w:r w:rsidR="009F0E6B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prin care se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va stabili fie menținerea fie încetarea calității de avocat.</w:t>
      </w:r>
    </w:p>
    <w:p w:rsidR="004B5A49" w:rsidRDefault="004B5A49" w:rsidP="00355C7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Mai menționăm faptul că Decizia se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va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lua cu majoritate de voturi iar în fața consiliului, avocatul se va înfățișa personal și va putea fi asistat de un alt avocat</w:t>
      </w:r>
      <w:r w:rsidR="00355C74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eastAsia="ro-RO"/>
        </w:rPr>
        <w:footnoteReference w:id="67"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</w:p>
    <w:p w:rsidR="004F7E2D" w:rsidRDefault="00A250B4" w:rsidP="004F7E2D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Decizia se comunică în cel mult 15 zile de la luarea ei tot printr-o scisoare recomandată cu confirmare de primire sau în mod direct prin luare de semnătură </w:t>
      </w:r>
      <w:r w:rsidR="0070797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</w:t>
      </w:r>
      <w:r w:rsidR="004F7E2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tât</w:t>
      </w:r>
      <w:r w:rsidR="0070797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="004F7E2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avocatului în cauză cât și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președintelui U.N.B.R precum și celui care a făcut plângerea.</w:t>
      </w:r>
    </w:p>
    <w:p w:rsidR="00A250B4" w:rsidRDefault="00A250B4" w:rsidP="00355C7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Este important de menționat faptul că în cazul în care se hotărăște excluderea din profesie, se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va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emite o hotărâre de excludere</w:t>
      </w:r>
      <w:r w:rsidR="00DD54BB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eastAsia="ro-RO"/>
        </w:rPr>
        <w:footnoteReference w:id="68"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</w:p>
    <w:p w:rsidR="000740DF" w:rsidRDefault="000740DF" w:rsidP="00F272D0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Decizia poate fi atacată, prin contestație</w:t>
      </w:r>
      <w:r w:rsidR="009F0E6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la Consiliul U.N.B.R.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, într-un termen de 15 zile de la comunicare, de către avocatul care a fost verificat și de către preșe</w:t>
      </w:r>
      <w:r w:rsidR="009F0E6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dintele U.N.B.R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</w:p>
    <w:p w:rsidR="008F67D0" w:rsidRDefault="000513C1" w:rsidP="00355C7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lastRenderedPageBreak/>
        <w:t>În ceea ce privește soluționarea</w:t>
      </w:r>
      <w:r w:rsidR="00EE342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contestației, menționăm că </w:t>
      </w:r>
      <w:r w:rsidR="008F67D0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termenul de soluționare se va stabili</w:t>
      </w:r>
      <w:r w:rsidR="005F3BB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de îndată, fiind citați în acest scop </w:t>
      </w:r>
      <w:r w:rsidR="008F67D0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avocatul, consiliul baroului pre</w:t>
      </w:r>
      <w:r w:rsidR="005F3BB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cum și alte persoane care sunt menționate în cerere și care pot da informații despre cazul de nedemnitate.</w:t>
      </w:r>
    </w:p>
    <w:p w:rsidR="005F3BB5" w:rsidRDefault="00235BCD" w:rsidP="00355C7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Procedura de citare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este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aceeași ca </w:t>
      </w:r>
      <w:r w:rsidR="005F3BB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în fața consiliului baroului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, totuși</w:t>
      </w:r>
      <w:r w:rsidR="005F3BB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în cazul în care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citarea nu este posibilă, se vor aplica regulile de citare prevăzute de Codul de procedură civilă</w:t>
      </w:r>
      <w:r w:rsidR="00355C74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eastAsia="ro-RO"/>
        </w:rPr>
        <w:footnoteReference w:id="69"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</w:p>
    <w:p w:rsidR="00EE3425" w:rsidRDefault="00235BCD" w:rsidP="00F272D0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Ș</w:t>
      </w:r>
      <w:r w:rsidR="000513C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edința Consiliului U.N.B.R. </w:t>
      </w:r>
      <w:proofErr w:type="gramStart"/>
      <w:r w:rsidR="000513C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este</w:t>
      </w:r>
      <w:proofErr w:type="gramEnd"/>
      <w:r w:rsidR="000513C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nepublică, </w:t>
      </w:r>
      <w:r w:rsidR="004A4C3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avocatul se va putea prezenta personal și va putea fi asistat de un alt avocat</w:t>
      </w:r>
      <w:r w:rsidR="00355C7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</w:p>
    <w:p w:rsidR="00C31394" w:rsidRDefault="004C4AEE" w:rsidP="00355C7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Judecata </w:t>
      </w:r>
      <w:r w:rsidR="00395D7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continuă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chiar dacă </w:t>
      </w:r>
      <w:r w:rsidR="00BB007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părțile </w:t>
      </w:r>
      <w:r w:rsidR="00C3139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care au fost </w:t>
      </w:r>
      <w:r w:rsidR="00FA193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legal citate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nu se prezintă</w:t>
      </w:r>
      <w:r w:rsidR="00BB007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. </w:t>
      </w:r>
    </w:p>
    <w:p w:rsidR="004A4C35" w:rsidRDefault="00BB007A" w:rsidP="00355C7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În acest caz Consiliul U.N.B.R. se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va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pronunța pe baza înscrisurilor și probelor administrate în cauză, fiind admisibile orice mijloace de probă</w:t>
      </w:r>
      <w:r w:rsidR="00355C74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eastAsia="ro-RO"/>
        </w:rPr>
        <w:footnoteReference w:id="70"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</w:p>
    <w:p w:rsidR="00BB007A" w:rsidRDefault="00BB007A" w:rsidP="00F272D0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Cu privire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la Decizia U.N.B.R., precizăm că din momentul rămânerii definitive ea are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autoritate de lucru judecat atât față de părți cât și față de organele profesiei.</w:t>
      </w:r>
    </w:p>
    <w:p w:rsidR="0030216B" w:rsidRDefault="00395D74" w:rsidP="00AE40FC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În situația pronunțării unei Decizii </w:t>
      </w:r>
      <w:r w:rsidR="00BB007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de excludere din profesie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către </w:t>
      </w:r>
      <w:r w:rsidR="00BB007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Consiliu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l</w:t>
      </w:r>
      <w:r w:rsidR="00BB007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U.N.B.R.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, </w:t>
      </w:r>
      <w:r w:rsidR="00BB007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aceasta se </w:t>
      </w:r>
      <w:proofErr w:type="gramStart"/>
      <w:r w:rsidR="00BB007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va</w:t>
      </w:r>
      <w:proofErr w:type="gramEnd"/>
      <w:r w:rsidR="00BB007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comunica avocatului</w:t>
      </w:r>
      <w:r w:rsidR="00CA36C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la sediul său profesional</w:t>
      </w:r>
      <w:r w:rsidR="00BB007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, baroului din care </w:t>
      </w:r>
      <w:r w:rsidR="00CA36C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acesta face parte</w:t>
      </w:r>
      <w:r w:rsidR="00BB007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precum și președintelui U.N.B.R</w:t>
      </w:r>
      <w:r w:rsidR="00DD54BB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eastAsia="ro-RO"/>
        </w:rPr>
        <w:footnoteReference w:id="71"/>
      </w:r>
      <w:r w:rsidR="00BB007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</w:p>
    <w:p w:rsidR="0030216B" w:rsidRDefault="0030216B" w:rsidP="00386234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:rsidR="00261B20" w:rsidRDefault="00261B20" w:rsidP="00386234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:rsidR="00261B20" w:rsidRDefault="00261B20" w:rsidP="00386234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:rsidR="00261B20" w:rsidRDefault="00261B20" w:rsidP="00386234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:rsidR="00261B20" w:rsidRDefault="00261B20" w:rsidP="00386234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:rsidR="00261B20" w:rsidRDefault="00261B20" w:rsidP="00386234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:rsidR="00261B20" w:rsidRDefault="00261B20" w:rsidP="00386234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:rsidR="00261B20" w:rsidRDefault="00261B20" w:rsidP="00386234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:rsidR="00261B20" w:rsidRDefault="00261B20" w:rsidP="00386234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:rsidR="00261B20" w:rsidRPr="00D41C90" w:rsidRDefault="00261B20" w:rsidP="00386234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:rsidR="00400E8D" w:rsidRDefault="00400E8D" w:rsidP="006E57A7">
      <w:pPr>
        <w:spacing w:line="360" w:lineRule="auto"/>
        <w:ind w:firstLine="644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lastRenderedPageBreak/>
        <w:t>Concluzii</w:t>
      </w:r>
    </w:p>
    <w:p w:rsidR="00BA51E2" w:rsidRDefault="00E80109" w:rsidP="006D413F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Am arătat în prima parte a lucrării </w:t>
      </w:r>
      <w:r w:rsidR="00BA51E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faptul că profesia de avocat este alcătuită dintr-o serie de principii liberale</w:t>
      </w:r>
      <w:r w:rsidR="00BA51E2">
        <w:rPr>
          <w:rStyle w:val="FootnoteReference"/>
          <w:rFonts w:ascii="Times New Roman" w:eastAsia="Times New Roman" w:hAnsi="Times New Roman" w:cs="Times New Roman"/>
          <w:sz w:val="24"/>
          <w:szCs w:val="24"/>
          <w:lang w:val="ro-RO" w:eastAsia="ro-RO"/>
        </w:rPr>
        <w:footnoteReference w:id="72"/>
      </w:r>
      <w:r w:rsidR="00BA51E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și că doctrina a dezvoltat și alte principii importante cum este de pildă, principiul demnității și onoarei</w:t>
      </w:r>
      <w:r w:rsidR="006D413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profesiei</w:t>
      </w:r>
      <w:r w:rsidR="00BA51E2">
        <w:rPr>
          <w:rStyle w:val="FootnoteReference"/>
          <w:rFonts w:ascii="Times New Roman" w:eastAsia="Times New Roman" w:hAnsi="Times New Roman" w:cs="Times New Roman"/>
          <w:sz w:val="24"/>
          <w:szCs w:val="24"/>
          <w:lang w:val="ro-RO" w:eastAsia="ro-RO"/>
        </w:rPr>
        <w:footnoteReference w:id="73"/>
      </w:r>
      <w:r w:rsidR="00BA51E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. </w:t>
      </w:r>
    </w:p>
    <w:p w:rsidR="00347735" w:rsidRDefault="006D413F" w:rsidP="006D413F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În ceea ce privește demnitatea avocatului, am observat că î</w:t>
      </w:r>
      <w:r w:rsidR="0084755F">
        <w:rPr>
          <w:rFonts w:ascii="Times New Roman" w:eastAsia="Times New Roman" w:hAnsi="Times New Roman" w:cs="Times New Roman"/>
          <w:sz w:val="24"/>
          <w:szCs w:val="24"/>
          <w:lang w:eastAsia="ro-RO"/>
        </w:rPr>
        <w:t>n legislație nu există o definiție propriu-zisă a demnităț</w:t>
      </w:r>
      <w:proofErr w:type="gramStart"/>
      <w:r w:rsidR="0084755F">
        <w:rPr>
          <w:rFonts w:ascii="Times New Roman" w:eastAsia="Times New Roman" w:hAnsi="Times New Roman" w:cs="Times New Roman"/>
          <w:sz w:val="24"/>
          <w:szCs w:val="24"/>
          <w:lang w:eastAsia="ro-RO"/>
        </w:rPr>
        <w:t>ii  însă</w:t>
      </w:r>
      <w:proofErr w:type="gramEnd"/>
      <w:r w:rsidR="0084755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sunt reglementate în mod expres cazurile de nedemnitate profesională</w:t>
      </w:r>
      <w:r w:rsidR="0084755F">
        <w:rPr>
          <w:rStyle w:val="FootnoteReference"/>
          <w:rFonts w:ascii="Times New Roman" w:eastAsia="Times New Roman" w:hAnsi="Times New Roman" w:cs="Times New Roman"/>
          <w:sz w:val="24"/>
          <w:szCs w:val="24"/>
          <w:lang w:eastAsia="ro-RO"/>
        </w:rPr>
        <w:footnoteReference w:id="74"/>
      </w:r>
      <w:r w:rsidR="0084755F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6D413F" w:rsidRDefault="006D413F" w:rsidP="006D413F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Cazurile de nedemnitate sunt regl</w:t>
      </w:r>
      <w:r w:rsidR="000923F9">
        <w:rPr>
          <w:rFonts w:ascii="Times New Roman" w:eastAsia="Times New Roman" w:hAnsi="Times New Roman" w:cs="Times New Roman"/>
          <w:sz w:val="24"/>
          <w:szCs w:val="24"/>
          <w:lang w:eastAsia="ro-RO"/>
        </w:rPr>
        <w:t>ementate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art.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14 din Legea nr.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51/1995 </w:t>
      </w:r>
      <w:r w:rsidR="00753D8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și sunt verificate </w:t>
      </w:r>
      <w:r w:rsidR="00FF6C5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de către Consiliul baroului </w:t>
      </w:r>
      <w:r w:rsidR="00753D8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după o procedură riguroasă </w:t>
      </w:r>
      <w:r w:rsidR="00FF6C54">
        <w:rPr>
          <w:rFonts w:ascii="Times New Roman" w:eastAsia="Times New Roman" w:hAnsi="Times New Roman" w:cs="Times New Roman"/>
          <w:sz w:val="24"/>
          <w:szCs w:val="24"/>
          <w:lang w:eastAsia="ro-RO"/>
        </w:rPr>
        <w:t>prevăzută de art.</w:t>
      </w:r>
      <w:proofErr w:type="gramEnd"/>
      <w:r w:rsidR="00FF6C5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26 din Statut</w:t>
      </w:r>
      <w:r w:rsidR="00544AA4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="00E801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53D8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atât la primirea </w:t>
      </w:r>
      <w:r w:rsidR="00A150D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sau reprimirea în profesie, </w:t>
      </w:r>
      <w:r w:rsidR="00A20B6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cât și pe tot parcursul exercitării profesiei.</w:t>
      </w:r>
    </w:p>
    <w:p w:rsidR="00E37FC3" w:rsidRDefault="00DB3C4B" w:rsidP="00DB3C4B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N</w:t>
      </w:r>
      <w:r w:rsidR="00E37FC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u ne rămâne decât </w:t>
      </w:r>
      <w:proofErr w:type="gramStart"/>
      <w:r w:rsidR="00E37FC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să</w:t>
      </w:r>
      <w:proofErr w:type="gramEnd"/>
      <w:r w:rsidR="00E37FC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re</w:t>
      </w:r>
      <w:r w:rsidR="004C7CD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iterăm</w:t>
      </w:r>
      <w:r w:rsidR="00E37FC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faptul că </w:t>
      </w:r>
      <w:r w:rsidR="004C7CD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odată constatate, cazurile de nedemnitate </w:t>
      </w:r>
      <w:r w:rsidR="00FF6C5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pot determina</w:t>
      </w:r>
      <w:r w:rsidR="005B216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menținerea în profesie, </w:t>
      </w:r>
      <w:r w:rsidR="004C7CD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încetarea calității de avocat</w:t>
      </w:r>
      <w:r w:rsidR="005B216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sau chiar excluderea din avocatură</w:t>
      </w:r>
      <w:r w:rsidR="004C7CD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</w:p>
    <w:p w:rsidR="00DB3C4B" w:rsidRDefault="00DB3C4B" w:rsidP="00DB3C4B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La fina</w:t>
      </w:r>
      <w:r w:rsidR="000F1A2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l, nu putem nega faptul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c</w:t>
      </w:r>
      <w:r w:rsidR="000D4DE6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ă</w:t>
      </w:r>
      <w:r w:rsidR="00741446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unele prevederi consacrate nedemnității profesionale </w:t>
      </w:r>
      <w:r w:rsidR="000F1A28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ar trebui </w:t>
      </w:r>
      <w:proofErr w:type="gramStart"/>
      <w:r w:rsidR="000F1A28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să</w:t>
      </w:r>
      <w:proofErr w:type="gramEnd"/>
      <w:r w:rsidR="000F1A28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fie supuse unor modificări într-un viitor cadru legislativ</w:t>
      </w:r>
      <w:r w:rsidR="000F1A28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footnoteReference w:id="75"/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.</w:t>
      </w:r>
    </w:p>
    <w:p w:rsidR="00C5224C" w:rsidRDefault="00F76370" w:rsidP="00514940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De</w:t>
      </w:r>
      <w:r w:rsidR="000365A9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aceea, am încercat să inserăm</w:t>
      </w:r>
      <w:r w:rsidR="007A1240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și câteva propune</w:t>
      </w:r>
      <w:r w:rsidR="00AD549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r</w:t>
      </w:r>
      <w:r w:rsidR="007A1240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i de lege ferenda </w:t>
      </w:r>
      <w:r w:rsidR="00AD549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în speranța unei reactualizări</w:t>
      </w:r>
      <w:r w:rsidR="00340C63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  <w:r w:rsidR="00A150D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a normelor </w:t>
      </w:r>
      <w:r w:rsidR="005640FD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în materie de nedemnitate</w:t>
      </w:r>
      <w:r w:rsidR="00A150D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profesională</w:t>
      </w:r>
      <w:r w:rsidR="007A1240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.</w:t>
      </w:r>
    </w:p>
    <w:p w:rsidR="00C5224C" w:rsidRDefault="00C5224C" w:rsidP="00DB3C4B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:rsidR="00C5224C" w:rsidRDefault="00C5224C" w:rsidP="00DB3C4B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:rsidR="00261B20" w:rsidRDefault="00261B20" w:rsidP="00DB3C4B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:rsidR="00261B20" w:rsidRDefault="00261B20" w:rsidP="00DB3C4B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:rsidR="00261B20" w:rsidRDefault="00261B20" w:rsidP="00DB3C4B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:rsidR="00261B20" w:rsidRDefault="00261B20" w:rsidP="00DB3C4B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:rsidR="00261B20" w:rsidRDefault="00261B20" w:rsidP="00DB3C4B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:rsidR="00261B20" w:rsidRDefault="00261B20" w:rsidP="00DB3C4B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:rsidR="00261B20" w:rsidRDefault="00261B20" w:rsidP="00DB3C4B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:rsidR="00C5224C" w:rsidRDefault="00C5224C" w:rsidP="00DB3C4B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:rsidR="00C03E42" w:rsidRDefault="00C03E42" w:rsidP="00DB3C4B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:rsidR="00344810" w:rsidRDefault="00344810" w:rsidP="00DB3C4B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:rsidR="00496C2D" w:rsidRDefault="00496C2D" w:rsidP="00496C2D">
      <w:pPr>
        <w:tabs>
          <w:tab w:val="left" w:pos="1170"/>
        </w:tabs>
        <w:spacing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6C2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Bibliografie</w:t>
      </w:r>
    </w:p>
    <w:p w:rsidR="003860D9" w:rsidRDefault="003860D9" w:rsidP="00496C2D">
      <w:pPr>
        <w:tabs>
          <w:tab w:val="left" w:pos="1170"/>
        </w:tabs>
        <w:spacing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60D9">
        <w:rPr>
          <w:rFonts w:ascii="Times New Roman" w:eastAsia="Times New Roman" w:hAnsi="Times New Roman" w:cs="Times New Roman"/>
          <w:b/>
          <w:sz w:val="24"/>
          <w:szCs w:val="24"/>
        </w:rPr>
        <w:t>Legislaţie</w:t>
      </w:r>
      <w:r w:rsidR="00A930B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860D9" w:rsidRDefault="003860D9" w:rsidP="00496C2D">
      <w:pPr>
        <w:tabs>
          <w:tab w:val="left" w:pos="1170"/>
        </w:tabs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860D9">
        <w:rPr>
          <w:rFonts w:ascii="Times New Roman" w:eastAsia="Times New Roman" w:hAnsi="Times New Roman" w:cs="Times New Roman"/>
          <w:sz w:val="24"/>
          <w:szCs w:val="24"/>
        </w:rPr>
        <w:t>Legea nr.</w:t>
      </w:r>
      <w:proofErr w:type="gramEnd"/>
      <w:r w:rsidRPr="003860D9">
        <w:rPr>
          <w:rFonts w:ascii="Times New Roman" w:eastAsia="Times New Roman" w:hAnsi="Times New Roman" w:cs="Times New Roman"/>
          <w:sz w:val="24"/>
          <w:szCs w:val="24"/>
        </w:rPr>
        <w:t xml:space="preserve"> 51/1995 pentru organizarea și exercitarea profesiei de avocat, republicată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proofErr w:type="gramStart"/>
      <w:r w:rsidRPr="003860D9">
        <w:rPr>
          <w:rFonts w:ascii="Times New Roman" w:eastAsia="Times New Roman" w:hAnsi="Times New Roman" w:cs="Times New Roman"/>
          <w:sz w:val="24"/>
          <w:szCs w:val="24"/>
        </w:rPr>
        <w:t>( M.Of</w:t>
      </w:r>
      <w:proofErr w:type="gramEnd"/>
      <w:r w:rsidRPr="003860D9">
        <w:rPr>
          <w:rFonts w:ascii="Times New Roman" w:eastAsia="Times New Roman" w:hAnsi="Times New Roman" w:cs="Times New Roman"/>
          <w:sz w:val="24"/>
          <w:szCs w:val="24"/>
        </w:rPr>
        <w:t>. nr. 440 din 24 mai 2018).</w:t>
      </w:r>
    </w:p>
    <w:p w:rsidR="003860D9" w:rsidRDefault="003860D9" w:rsidP="00496C2D">
      <w:pPr>
        <w:tabs>
          <w:tab w:val="left" w:pos="1170"/>
        </w:tabs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Statutul profesiei de avocat</w:t>
      </w:r>
      <w:r w:rsidR="002D4BD7">
        <w:rPr>
          <w:rFonts w:ascii="Times New Roman" w:eastAsia="Times New Roman" w:hAnsi="Times New Roman" w:cs="Times New Roman"/>
          <w:sz w:val="24"/>
          <w:szCs w:val="24"/>
        </w:rPr>
        <w:t xml:space="preserve"> adoptat prin Hot</w:t>
      </w:r>
      <w:r w:rsidR="002D4BD7">
        <w:rPr>
          <w:rFonts w:ascii="Times New Roman" w:eastAsia="Times New Roman" w:hAnsi="Times New Roman" w:cs="Times New Roman"/>
          <w:sz w:val="24"/>
          <w:szCs w:val="24"/>
          <w:lang w:val="ro-RO"/>
        </w:rPr>
        <w:t>ărârea nr.</w:t>
      </w:r>
      <w:proofErr w:type="gramEnd"/>
      <w:r w:rsidR="002D4BD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64/2011 a Consiliului UNBR </w:t>
      </w:r>
      <w:r w:rsidR="002D4BD7">
        <w:rPr>
          <w:rFonts w:ascii="Times New Roman" w:eastAsia="Times New Roman" w:hAnsi="Times New Roman" w:cs="Times New Roman"/>
          <w:sz w:val="24"/>
          <w:szCs w:val="24"/>
        </w:rPr>
        <w:t xml:space="preserve">(M.Of. </w:t>
      </w:r>
      <w:proofErr w:type="gramStart"/>
      <w:r w:rsidR="002D4BD7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gramEnd"/>
      <w:r w:rsidR="002D4BD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2D4BD7">
        <w:rPr>
          <w:rFonts w:ascii="Times New Roman" w:eastAsia="Times New Roman" w:hAnsi="Times New Roman" w:cs="Times New Roman"/>
          <w:sz w:val="24"/>
          <w:szCs w:val="24"/>
        </w:rPr>
        <w:t>898 din 19 decembrie 2011)</w:t>
      </w:r>
      <w:r w:rsidR="0016061B" w:rsidRPr="0016061B">
        <w:rPr>
          <w:rFonts w:ascii="Arial" w:hAnsi="Arial" w:cs="Arial"/>
          <w:sz w:val="28"/>
          <w:szCs w:val="28"/>
        </w:rPr>
        <w:t xml:space="preserve"> </w:t>
      </w:r>
      <w:r w:rsidR="0016061B" w:rsidRPr="0016061B">
        <w:rPr>
          <w:rFonts w:ascii="Times New Roman" w:eastAsia="Times New Roman" w:hAnsi="Times New Roman" w:cs="Times New Roman"/>
          <w:sz w:val="24"/>
          <w:szCs w:val="24"/>
        </w:rPr>
        <w:t>cu modificările şi</w:t>
      </w:r>
      <w:r w:rsidR="00160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061B" w:rsidRPr="0016061B">
        <w:rPr>
          <w:rFonts w:ascii="Times New Roman" w:eastAsia="Times New Roman" w:hAnsi="Times New Roman" w:cs="Times New Roman"/>
          <w:sz w:val="24"/>
          <w:szCs w:val="24"/>
        </w:rPr>
        <w:t>com</w:t>
      </w:r>
      <w:r w:rsidR="0016061B">
        <w:rPr>
          <w:rFonts w:ascii="Times New Roman" w:eastAsia="Times New Roman" w:hAnsi="Times New Roman" w:cs="Times New Roman"/>
          <w:sz w:val="24"/>
          <w:szCs w:val="24"/>
        </w:rPr>
        <w:t>pletările aduse prin</w:t>
      </w:r>
      <w:r w:rsidR="0016061B" w:rsidRPr="0016061B">
        <w:rPr>
          <w:rFonts w:ascii="Arial" w:hAnsi="Arial" w:cs="Arial"/>
          <w:color w:val="050708"/>
          <w:sz w:val="23"/>
          <w:szCs w:val="23"/>
          <w:shd w:val="clear" w:color="auto" w:fill="FFFFFF"/>
        </w:rPr>
        <w:t xml:space="preserve"> </w:t>
      </w:r>
      <w:r w:rsidR="0016061B" w:rsidRPr="0016061B">
        <w:rPr>
          <w:rFonts w:ascii="Times New Roman" w:eastAsia="Times New Roman" w:hAnsi="Times New Roman" w:cs="Times New Roman"/>
          <w:sz w:val="24"/>
          <w:szCs w:val="24"/>
        </w:rPr>
        <w:t>Hotărârea Uniunii Naționale a Barourilor din România (UNBR) nr.</w:t>
      </w:r>
      <w:proofErr w:type="gramEnd"/>
      <w:r w:rsidR="0016061B" w:rsidRPr="0016061B">
        <w:rPr>
          <w:rFonts w:ascii="Times New Roman" w:eastAsia="Times New Roman" w:hAnsi="Times New Roman" w:cs="Times New Roman"/>
          <w:sz w:val="24"/>
          <w:szCs w:val="24"/>
        </w:rPr>
        <w:t xml:space="preserve"> 428/2018</w:t>
      </w:r>
      <w:proofErr w:type="gramStart"/>
      <w:r w:rsidR="0016061B" w:rsidRPr="0016061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6061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End"/>
      <w:r w:rsidR="0016061B">
        <w:rPr>
          <w:rFonts w:ascii="Times New Roman" w:eastAsia="Times New Roman" w:hAnsi="Times New Roman" w:cs="Times New Roman"/>
          <w:sz w:val="24"/>
          <w:szCs w:val="24"/>
        </w:rPr>
        <w:t>M.Of. nr. 64 din 25 ianuarie 2019</w:t>
      </w:r>
      <w:r w:rsidR="0016061B" w:rsidRPr="0016061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61B20" w:rsidRPr="00261B20" w:rsidRDefault="003860D9" w:rsidP="00261B20">
      <w:pPr>
        <w:tabs>
          <w:tab w:val="left" w:pos="1170"/>
        </w:tabs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860D9">
        <w:rPr>
          <w:rFonts w:ascii="Times New Roman" w:eastAsia="Times New Roman" w:hAnsi="Times New Roman" w:cs="Times New Roman"/>
          <w:sz w:val="24"/>
          <w:szCs w:val="24"/>
        </w:rPr>
        <w:t>Constituția României, cu modificările și completările aduse prin Legea de revizuire a Constituției României nr. 429 /2003</w:t>
      </w:r>
      <w:proofErr w:type="gramStart"/>
      <w:r w:rsidRPr="003860D9">
        <w:rPr>
          <w:rFonts w:ascii="Times New Roman" w:eastAsia="Times New Roman" w:hAnsi="Times New Roman" w:cs="Times New Roman"/>
          <w:sz w:val="24"/>
          <w:szCs w:val="24"/>
        </w:rPr>
        <w:t>( M.Of</w:t>
      </w:r>
      <w:proofErr w:type="gramEnd"/>
      <w:r w:rsidRPr="003860D9">
        <w:rPr>
          <w:rFonts w:ascii="Times New Roman" w:eastAsia="Times New Roman" w:hAnsi="Times New Roman" w:cs="Times New Roman"/>
          <w:sz w:val="24"/>
          <w:szCs w:val="24"/>
        </w:rPr>
        <w:t>. nr. 758 din 29 octombrie 2003).</w:t>
      </w:r>
    </w:p>
    <w:p w:rsidR="00A930BD" w:rsidRDefault="00A930BD" w:rsidP="00A930BD">
      <w:pPr>
        <w:spacing w:line="360" w:lineRule="auto"/>
        <w:ind w:left="14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0BD">
        <w:rPr>
          <w:rFonts w:ascii="Times New Roman" w:eastAsia="Times New Roman" w:hAnsi="Times New Roman" w:cs="Times New Roman"/>
          <w:b/>
          <w:sz w:val="24"/>
          <w:szCs w:val="24"/>
        </w:rPr>
        <w:t>Doctrină</w:t>
      </w:r>
    </w:p>
    <w:p w:rsidR="00A930BD" w:rsidRDefault="00A930BD" w:rsidP="00A930BD">
      <w:pPr>
        <w:spacing w:line="360" w:lineRule="auto"/>
        <w:ind w:firstLine="705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0BD">
        <w:rPr>
          <w:rFonts w:ascii="Times New Roman" w:eastAsia="Times New Roman" w:hAnsi="Times New Roman" w:cs="Times New Roman"/>
          <w:b/>
          <w:sz w:val="24"/>
          <w:szCs w:val="24"/>
        </w:rPr>
        <w:t>Cărţi şi cursuri universitare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930BD" w:rsidRPr="00A930BD" w:rsidRDefault="00A930BD" w:rsidP="00A930BD">
      <w:pPr>
        <w:spacing w:line="360" w:lineRule="auto"/>
        <w:ind w:firstLine="705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536C" w:rsidRDefault="00D4745F" w:rsidP="00496C2D">
      <w:pPr>
        <w:tabs>
          <w:tab w:val="left" w:pos="1170"/>
        </w:tabs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Traian </w:t>
      </w:r>
      <w:r w:rsidR="00B9536C" w:rsidRPr="00B9536C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ornel</w:t>
      </w:r>
      <w:r w:rsidR="00B9536C" w:rsidRPr="00B9536C">
        <w:rPr>
          <w:rFonts w:ascii="Times New Roman" w:eastAsia="Times New Roman" w:hAnsi="Times New Roman" w:cs="Times New Roman"/>
          <w:i/>
          <w:sz w:val="24"/>
          <w:szCs w:val="24"/>
        </w:rPr>
        <w:t xml:space="preserve"> Briciu, C.C. Dinu, P. Pop</w:t>
      </w:r>
      <w:r w:rsidR="00B9536C" w:rsidRPr="00B9536C">
        <w:rPr>
          <w:rFonts w:ascii="Times New Roman" w:eastAsia="Times New Roman" w:hAnsi="Times New Roman" w:cs="Times New Roman"/>
          <w:sz w:val="24"/>
          <w:szCs w:val="24"/>
        </w:rPr>
        <w:t>, Instituții judiciare, ed. a 2-a, Ed. C.H. Beck, Bucureşti, 2016.</w:t>
      </w:r>
    </w:p>
    <w:p w:rsidR="00A95F25" w:rsidRDefault="00A95F25" w:rsidP="00A95F25">
      <w:pPr>
        <w:tabs>
          <w:tab w:val="left" w:pos="1170"/>
        </w:tabs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95F25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 w:rsidRPr="00A95F25">
        <w:rPr>
          <w:rFonts w:ascii="Times New Roman" w:eastAsia="Times New Roman" w:hAnsi="Times New Roman" w:cs="Times New Roman"/>
          <w:i/>
          <w:sz w:val="24"/>
          <w:szCs w:val="24"/>
        </w:rPr>
        <w:t xml:space="preserve">. Oancea,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Traian </w:t>
      </w:r>
      <w:r w:rsidRPr="00A95F25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ornel</w:t>
      </w:r>
      <w:r w:rsidRPr="00A95F25">
        <w:rPr>
          <w:rFonts w:ascii="Times New Roman" w:eastAsia="Times New Roman" w:hAnsi="Times New Roman" w:cs="Times New Roman"/>
          <w:i/>
          <w:sz w:val="24"/>
          <w:szCs w:val="24"/>
        </w:rPr>
        <w:t xml:space="preserve"> Briciu,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Ștefan</w:t>
      </w:r>
      <w:r w:rsidRPr="00A95F25">
        <w:rPr>
          <w:rFonts w:ascii="Times New Roman" w:eastAsia="Times New Roman" w:hAnsi="Times New Roman" w:cs="Times New Roman"/>
          <w:i/>
          <w:sz w:val="24"/>
          <w:szCs w:val="24"/>
        </w:rPr>
        <w:t xml:space="preserve"> Naubauer, </w:t>
      </w:r>
      <w:r w:rsidRPr="00A95F25">
        <w:rPr>
          <w:rFonts w:ascii="Times New Roman" w:eastAsia="Times New Roman" w:hAnsi="Times New Roman" w:cs="Times New Roman"/>
          <w:sz w:val="24"/>
          <w:szCs w:val="24"/>
        </w:rPr>
        <w:t xml:space="preserve">Legea privind organizarea și exercitarea profesiei de avocat. </w:t>
      </w:r>
      <w:proofErr w:type="gramStart"/>
      <w:r w:rsidRPr="00A95F25">
        <w:rPr>
          <w:rFonts w:ascii="Times New Roman" w:eastAsia="Times New Roman" w:hAnsi="Times New Roman" w:cs="Times New Roman"/>
          <w:sz w:val="24"/>
          <w:szCs w:val="24"/>
        </w:rPr>
        <w:t>Comentariu pe articole, ed. a 2-a, Ed. C.H Beck, București, 2019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9536C" w:rsidRDefault="00D4745F" w:rsidP="00496C2D">
      <w:pPr>
        <w:tabs>
          <w:tab w:val="left" w:pos="1170"/>
        </w:tabs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Ligia</w:t>
      </w:r>
      <w:r w:rsidR="00B9536C" w:rsidRPr="00B9536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87647">
        <w:rPr>
          <w:rFonts w:ascii="Times New Roman" w:eastAsia="Times New Roman" w:hAnsi="Times New Roman" w:cs="Times New Roman"/>
          <w:i/>
          <w:sz w:val="24"/>
          <w:szCs w:val="24"/>
        </w:rPr>
        <w:t>Cătuna, Nicoleta</w:t>
      </w:r>
      <w:r w:rsidR="00B9536C" w:rsidRPr="00B9536C">
        <w:rPr>
          <w:rFonts w:ascii="Times New Roman" w:eastAsia="Times New Roman" w:hAnsi="Times New Roman" w:cs="Times New Roman"/>
          <w:i/>
          <w:sz w:val="24"/>
          <w:szCs w:val="24"/>
        </w:rPr>
        <w:t xml:space="preserve"> Bedrosian, </w:t>
      </w:r>
      <w:r w:rsidR="00A87647">
        <w:rPr>
          <w:rFonts w:ascii="Times New Roman" w:eastAsia="Times New Roman" w:hAnsi="Times New Roman" w:cs="Times New Roman"/>
          <w:i/>
          <w:sz w:val="24"/>
          <w:szCs w:val="24"/>
        </w:rPr>
        <w:t>Lucian  Drăgoi, Carmen Tufariu, Teodora Blidariu, Alexandra</w:t>
      </w:r>
      <w:r w:rsidR="00B9536C" w:rsidRPr="00B9536C">
        <w:rPr>
          <w:rFonts w:ascii="Times New Roman" w:eastAsia="Times New Roman" w:hAnsi="Times New Roman" w:cs="Times New Roman"/>
          <w:i/>
          <w:sz w:val="24"/>
          <w:szCs w:val="24"/>
        </w:rPr>
        <w:t xml:space="preserve"> Nicola</w:t>
      </w:r>
      <w:r w:rsidR="00A87647">
        <w:rPr>
          <w:rFonts w:ascii="Times New Roman" w:eastAsia="Times New Roman" w:hAnsi="Times New Roman" w:cs="Times New Roman"/>
          <w:sz w:val="24"/>
          <w:szCs w:val="24"/>
        </w:rPr>
        <w:t>, Iulia</w:t>
      </w:r>
      <w:r w:rsidR="00B9536C" w:rsidRPr="00B9536C">
        <w:rPr>
          <w:rFonts w:ascii="Times New Roman" w:eastAsia="Times New Roman" w:hAnsi="Times New Roman" w:cs="Times New Roman"/>
          <w:sz w:val="24"/>
          <w:szCs w:val="24"/>
        </w:rPr>
        <w:t xml:space="preserve"> Voinea, Organizarea și exercitarea profesiei de avocat. </w:t>
      </w:r>
      <w:proofErr w:type="gramStart"/>
      <w:r w:rsidR="00B9536C" w:rsidRPr="00B9536C">
        <w:rPr>
          <w:rFonts w:ascii="Times New Roman" w:eastAsia="Times New Roman" w:hAnsi="Times New Roman" w:cs="Times New Roman"/>
          <w:sz w:val="24"/>
          <w:szCs w:val="24"/>
        </w:rPr>
        <w:t>Sinteze și grile, ed. a 3-a, Ed. Universul Juridic, Bucureşti, 2015</w:t>
      </w:r>
      <w:r w:rsidR="00B9536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9536C" w:rsidRDefault="00B9536C" w:rsidP="00496C2D">
      <w:pPr>
        <w:tabs>
          <w:tab w:val="left" w:pos="1170"/>
        </w:tabs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9536C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="00D4745F">
        <w:rPr>
          <w:rFonts w:ascii="Times New Roman" w:eastAsia="Times New Roman" w:hAnsi="Times New Roman" w:cs="Times New Roman"/>
          <w:i/>
          <w:sz w:val="24"/>
          <w:szCs w:val="24"/>
        </w:rPr>
        <w:t xml:space="preserve">oan Leș, Daniel </w:t>
      </w:r>
      <w:r w:rsidRPr="00B9536C">
        <w:rPr>
          <w:rFonts w:ascii="Times New Roman" w:eastAsia="Times New Roman" w:hAnsi="Times New Roman" w:cs="Times New Roman"/>
          <w:i/>
          <w:sz w:val="24"/>
          <w:szCs w:val="24"/>
        </w:rPr>
        <w:t>Ghiță</w:t>
      </w:r>
      <w:r w:rsidRPr="00B9536C">
        <w:rPr>
          <w:rFonts w:ascii="Times New Roman" w:eastAsia="Times New Roman" w:hAnsi="Times New Roman" w:cs="Times New Roman"/>
          <w:sz w:val="24"/>
          <w:szCs w:val="24"/>
        </w:rPr>
        <w:t>, Instituții judiciare contemporane, ed. a 2-a, Ed. C.H</w:t>
      </w:r>
      <w:r w:rsidR="00BB1DF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9536C">
        <w:rPr>
          <w:rFonts w:ascii="Times New Roman" w:eastAsia="Times New Roman" w:hAnsi="Times New Roman" w:cs="Times New Roman"/>
          <w:sz w:val="24"/>
          <w:szCs w:val="24"/>
        </w:rPr>
        <w:t xml:space="preserve"> Beck, București, 2019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9536C" w:rsidRDefault="00D4745F" w:rsidP="00496C2D">
      <w:pPr>
        <w:tabs>
          <w:tab w:val="left" w:pos="1170"/>
        </w:tabs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Ștefan</w:t>
      </w:r>
      <w:r w:rsidR="00B9536C" w:rsidRPr="00B9536C">
        <w:rPr>
          <w:rFonts w:ascii="Times New Roman" w:eastAsia="Times New Roman" w:hAnsi="Times New Roman" w:cs="Times New Roman"/>
          <w:i/>
          <w:sz w:val="24"/>
          <w:szCs w:val="24"/>
        </w:rPr>
        <w:t xml:space="preserve"> Naubauer</w:t>
      </w:r>
      <w:r w:rsidR="00B9536C" w:rsidRPr="00B9536C">
        <w:rPr>
          <w:rFonts w:ascii="Times New Roman" w:eastAsia="Times New Roman" w:hAnsi="Times New Roman" w:cs="Times New Roman"/>
          <w:sz w:val="24"/>
          <w:szCs w:val="24"/>
        </w:rPr>
        <w:t xml:space="preserve">, Legea organizării și exercitării profesiei de avocat explicații teoretice și </w:t>
      </w:r>
      <w:proofErr w:type="gramStart"/>
      <w:r w:rsidR="00B9536C" w:rsidRPr="00B9536C">
        <w:rPr>
          <w:rFonts w:ascii="Times New Roman" w:eastAsia="Times New Roman" w:hAnsi="Times New Roman" w:cs="Times New Roman"/>
          <w:sz w:val="24"/>
          <w:szCs w:val="24"/>
        </w:rPr>
        <w:t>practice(</w:t>
      </w:r>
      <w:proofErr w:type="gramEnd"/>
      <w:r w:rsidR="00B9536C" w:rsidRPr="00B9536C">
        <w:rPr>
          <w:rFonts w:ascii="Times New Roman" w:eastAsia="Times New Roman" w:hAnsi="Times New Roman" w:cs="Times New Roman"/>
          <w:sz w:val="24"/>
          <w:szCs w:val="24"/>
        </w:rPr>
        <w:t>articolele 1-27), ed. a 2-a, rev. și adăug, Ed. Universul Juridic, București, 2021</w:t>
      </w:r>
      <w:r w:rsidR="00B953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60D9" w:rsidRDefault="003860D9" w:rsidP="003860D9">
      <w:pPr>
        <w:tabs>
          <w:tab w:val="left" w:pos="1170"/>
        </w:tabs>
        <w:spacing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60D9">
        <w:rPr>
          <w:rFonts w:ascii="Times New Roman" w:eastAsia="Times New Roman" w:hAnsi="Times New Roman" w:cs="Times New Roman"/>
          <w:b/>
          <w:sz w:val="24"/>
          <w:szCs w:val="24"/>
        </w:rPr>
        <w:t>Surse informatice</w:t>
      </w:r>
    </w:p>
    <w:p w:rsidR="00D81DC6" w:rsidRPr="0002571A" w:rsidRDefault="00E14002" w:rsidP="0002571A">
      <w:pPr>
        <w:tabs>
          <w:tab w:val="left" w:pos="1170"/>
        </w:tabs>
        <w:spacing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9" w:history="1">
        <w:r w:rsidR="003860D9" w:rsidRPr="00425945">
          <w:rPr>
            <w:rStyle w:val="Hyperlink"/>
          </w:rPr>
          <w:t>https://www.ccr.ro/comunicat-de-presa-28-aprilie-2022/</w:t>
        </w:r>
      </w:hyperlink>
      <w:r w:rsidR="003860D9">
        <w:t>.</w:t>
      </w:r>
    </w:p>
    <w:sectPr w:rsidR="00D81DC6" w:rsidRPr="0002571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002" w:rsidRDefault="00E14002" w:rsidP="007662E2">
      <w:pPr>
        <w:spacing w:after="0" w:line="240" w:lineRule="auto"/>
      </w:pPr>
      <w:r>
        <w:separator/>
      </w:r>
    </w:p>
  </w:endnote>
  <w:endnote w:type="continuationSeparator" w:id="0">
    <w:p w:rsidR="00E14002" w:rsidRDefault="00E14002" w:rsidP="007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0812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08C5" w:rsidRDefault="006908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360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908C5" w:rsidRDefault="006908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002" w:rsidRDefault="00E14002" w:rsidP="007662E2">
      <w:pPr>
        <w:spacing w:after="0" w:line="240" w:lineRule="auto"/>
      </w:pPr>
      <w:r>
        <w:separator/>
      </w:r>
    </w:p>
  </w:footnote>
  <w:footnote w:type="continuationSeparator" w:id="0">
    <w:p w:rsidR="00E14002" w:rsidRDefault="00E14002" w:rsidP="007662E2">
      <w:pPr>
        <w:spacing w:after="0" w:line="240" w:lineRule="auto"/>
      </w:pPr>
      <w:r>
        <w:continuationSeparator/>
      </w:r>
    </w:p>
  </w:footnote>
  <w:footnote w:id="1">
    <w:p w:rsidR="00997BE7" w:rsidRDefault="00997BE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B461B" w:rsidRPr="004B461B">
        <w:t>Legea nr. 51/1995 pentru organizarea și exercitarea profesiei de avocat, republicată ( M.Of. nr. 440 din 24 mai 2018).</w:t>
      </w:r>
    </w:p>
  </w:footnote>
  <w:footnote w:id="2">
    <w:p w:rsidR="00105AC1" w:rsidRDefault="00105AC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="00CE2591" w:rsidRPr="00997BE7">
        <w:rPr>
          <w:lang w:val="en-US"/>
        </w:rPr>
        <w:t>Legea nr.</w:t>
      </w:r>
      <w:proofErr w:type="gramEnd"/>
      <w:r w:rsidR="00CE2591" w:rsidRPr="00997BE7">
        <w:rPr>
          <w:lang w:val="en-US"/>
        </w:rPr>
        <w:t xml:space="preserve"> 51/1995 pentru organizarea și exercitarea profesiei de avocat, republicată </w:t>
      </w:r>
      <w:proofErr w:type="gramStart"/>
      <w:r w:rsidR="00CE2591" w:rsidRPr="00997BE7">
        <w:rPr>
          <w:lang w:val="en-US"/>
        </w:rPr>
        <w:t>( M.Of</w:t>
      </w:r>
      <w:proofErr w:type="gramEnd"/>
      <w:r w:rsidR="00CE2591" w:rsidRPr="00997BE7">
        <w:rPr>
          <w:lang w:val="en-US"/>
        </w:rPr>
        <w:t>. nr. 440 din 24 mai 2018).</w:t>
      </w:r>
    </w:p>
  </w:footnote>
  <w:footnote w:id="3">
    <w:p w:rsidR="00CA1F14" w:rsidRPr="00EF25BE" w:rsidRDefault="00CA1F1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CA1F14">
        <w:rPr>
          <w:i/>
        </w:rPr>
        <w:t>T.C Briciu</w:t>
      </w:r>
      <w:r w:rsidRPr="00CA1F14">
        <w:t xml:space="preserve">, </w:t>
      </w:r>
      <w:r w:rsidR="000E32DA">
        <w:rPr>
          <w:i/>
        </w:rPr>
        <w:t>C.C Dinu, P. P</w:t>
      </w:r>
      <w:r w:rsidR="008C5A69">
        <w:rPr>
          <w:lang w:val="en-US"/>
        </w:rPr>
        <w:t>op,</w:t>
      </w:r>
      <w:r w:rsidR="000E32DA" w:rsidRPr="000E32DA">
        <w:t xml:space="preserve"> </w:t>
      </w:r>
      <w:r w:rsidR="000E32DA">
        <w:t>Instituții judiciare,</w:t>
      </w:r>
      <w:r w:rsidR="000E32DA" w:rsidRPr="00417F4C">
        <w:rPr>
          <w:rFonts w:eastAsiaTheme="minorHAnsi"/>
          <w:sz w:val="22"/>
          <w:szCs w:val="22"/>
          <w:lang w:val="en-US" w:eastAsia="en-US"/>
        </w:rPr>
        <w:t xml:space="preserve"> </w:t>
      </w:r>
      <w:r w:rsidR="000E32DA">
        <w:rPr>
          <w:lang w:val="en-US"/>
        </w:rPr>
        <w:t xml:space="preserve">ed. </w:t>
      </w:r>
      <w:proofErr w:type="gramStart"/>
      <w:r w:rsidR="000E32DA">
        <w:rPr>
          <w:lang w:val="en-US"/>
        </w:rPr>
        <w:t>a</w:t>
      </w:r>
      <w:proofErr w:type="gramEnd"/>
      <w:r w:rsidR="000E32DA">
        <w:rPr>
          <w:lang w:val="en-US"/>
        </w:rPr>
        <w:t xml:space="preserve"> 2</w:t>
      </w:r>
      <w:r w:rsidR="000E32DA" w:rsidRPr="00417F4C">
        <w:rPr>
          <w:lang w:val="en-US"/>
        </w:rPr>
        <w:t xml:space="preserve">-a, </w:t>
      </w:r>
      <w:r w:rsidR="000E32DA">
        <w:rPr>
          <w:lang w:val="en-US"/>
        </w:rPr>
        <w:t>Ed. C.H. Beck</w:t>
      </w:r>
      <w:r w:rsidR="000E32DA" w:rsidRPr="00417F4C">
        <w:rPr>
          <w:lang w:val="en-US"/>
        </w:rPr>
        <w:t xml:space="preserve">, Bucureşti, </w:t>
      </w:r>
      <w:r w:rsidR="000E32DA">
        <w:rPr>
          <w:lang w:val="en-US"/>
        </w:rPr>
        <w:t>2016, p. 337.</w:t>
      </w:r>
    </w:p>
  </w:footnote>
  <w:footnote w:id="4">
    <w:p w:rsidR="00EF25BE" w:rsidRPr="00EF25BE" w:rsidRDefault="00EF25B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CA1F14">
        <w:rPr>
          <w:i/>
        </w:rPr>
        <w:t>T.C Briciu</w:t>
      </w:r>
      <w:r w:rsidRPr="00CA1F14">
        <w:t xml:space="preserve">, </w:t>
      </w:r>
      <w:r w:rsidR="008C5A69">
        <w:rPr>
          <w:i/>
        </w:rPr>
        <w:t>C.C Dinu, P. P</w:t>
      </w:r>
      <w:r w:rsidR="008C5A69">
        <w:rPr>
          <w:lang w:val="en-US"/>
        </w:rPr>
        <w:t xml:space="preserve">op, </w:t>
      </w:r>
      <w:r w:rsidR="00906DC1">
        <w:rPr>
          <w:lang w:val="en-US"/>
        </w:rPr>
        <w:t>op. cit., p. 33</w:t>
      </w:r>
      <w:r w:rsidRPr="00CA1F14">
        <w:rPr>
          <w:lang w:val="en-US"/>
        </w:rPr>
        <w:t>7.</w:t>
      </w:r>
    </w:p>
  </w:footnote>
  <w:footnote w:id="5">
    <w:p w:rsidR="00255D67" w:rsidRDefault="00255D6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11571">
        <w:rPr>
          <w:i/>
        </w:rPr>
        <w:t>L.</w:t>
      </w:r>
      <w:r w:rsidR="00C60B05" w:rsidRPr="00B11571">
        <w:rPr>
          <w:i/>
        </w:rPr>
        <w:t xml:space="preserve"> </w:t>
      </w:r>
      <w:r w:rsidRPr="00B11571">
        <w:rPr>
          <w:i/>
        </w:rPr>
        <w:t xml:space="preserve">Cătuna, N. Bedrosian, </w:t>
      </w:r>
      <w:r w:rsidR="00075316" w:rsidRPr="00B11571">
        <w:rPr>
          <w:i/>
        </w:rPr>
        <w:t>L. Drăgoi, C.Tufariu, T.Blidariu, A. Nicola</w:t>
      </w:r>
      <w:r w:rsidR="00075316">
        <w:t>, I. Voinea, Organizarea și exercitarea profesiei de avocat. Sinteze și grile, ed. a 3-a</w:t>
      </w:r>
      <w:r>
        <w:t xml:space="preserve">, </w:t>
      </w:r>
      <w:r w:rsidR="00075316" w:rsidRPr="00075316">
        <w:rPr>
          <w:lang w:val="en-US"/>
        </w:rPr>
        <w:t xml:space="preserve">Ed. Universul Juridic, Bucureşti, </w:t>
      </w:r>
      <w:r w:rsidR="00075316">
        <w:rPr>
          <w:lang w:val="en-US"/>
        </w:rPr>
        <w:t xml:space="preserve">2015, </w:t>
      </w:r>
      <w:r>
        <w:t>p.</w:t>
      </w:r>
      <w:r w:rsidR="00075316">
        <w:t xml:space="preserve"> 13</w:t>
      </w:r>
      <w:r>
        <w:t>.</w:t>
      </w:r>
    </w:p>
  </w:footnote>
  <w:footnote w:id="6">
    <w:p w:rsidR="00810742" w:rsidRPr="00810742" w:rsidRDefault="00810742" w:rsidP="0081074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Conform art. 227 alin. (1) și (2) din Statutul profesiei de avocat ,, </w:t>
      </w:r>
      <w:r w:rsidRPr="00810742">
        <w:rPr>
          <w:bCs/>
          <w:lang w:val="en-US"/>
        </w:rPr>
        <w:t>(1)</w:t>
      </w:r>
      <w:r w:rsidRPr="00810742">
        <w:rPr>
          <w:lang w:val="en-US"/>
        </w:rPr>
        <w:t> Exerciţiul liber al profesiei, demnitatea, conştiinţa, independenţa, probitatea, umanismul, onoarea, loialitatea, delicateţea, moderaţia, tactul şi sentimentul de confraternitate sunt principii esenţiale ale profesiei de avocat şi constituie îndatoriri ale acesteia.</w:t>
      </w:r>
    </w:p>
    <w:p w:rsidR="00810742" w:rsidRPr="00810742" w:rsidRDefault="00810742">
      <w:pPr>
        <w:pStyle w:val="FootnoteText"/>
        <w:rPr>
          <w:lang w:val="en-US"/>
        </w:rPr>
      </w:pPr>
      <w:r w:rsidRPr="00810742">
        <w:rPr>
          <w:bCs/>
          <w:lang w:val="en-US"/>
        </w:rPr>
        <w:t>(2)</w:t>
      </w:r>
      <w:r w:rsidRPr="00810742">
        <w:rPr>
          <w:lang w:val="en-US"/>
        </w:rPr>
        <w:t xml:space="preserve"> Avocatul </w:t>
      </w:r>
      <w:proofErr w:type="gramStart"/>
      <w:r w:rsidRPr="00810742">
        <w:rPr>
          <w:lang w:val="en-US"/>
        </w:rPr>
        <w:t>este</w:t>
      </w:r>
      <w:proofErr w:type="gramEnd"/>
      <w:r w:rsidRPr="00810742">
        <w:rPr>
          <w:lang w:val="en-US"/>
        </w:rPr>
        <w:t xml:space="preserve"> obligat să respecte aceste principii în activitatea sa profesională, precum şi în viaţa privată.</w:t>
      </w:r>
    </w:p>
  </w:footnote>
  <w:footnote w:id="7">
    <w:p w:rsidR="009477F5" w:rsidRDefault="009477F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11571">
        <w:rPr>
          <w:i/>
        </w:rPr>
        <w:t>I. Leș, D. Ghiță</w:t>
      </w:r>
      <w:r>
        <w:t>, Instituții judiciare contemporane, ed. a 2-a, Ed. C.H Beck, București, 2019, p. 285.</w:t>
      </w:r>
    </w:p>
  </w:footnote>
  <w:footnote w:id="8">
    <w:p w:rsidR="002F049F" w:rsidRDefault="002F049F" w:rsidP="002F049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11571">
        <w:rPr>
          <w:i/>
        </w:rPr>
        <w:t>I</w:t>
      </w:r>
      <w:r w:rsidRPr="00B11571">
        <w:rPr>
          <w:i/>
          <w:lang w:val="en-US"/>
        </w:rPr>
        <w:t>. Leș, D. Ghiță</w:t>
      </w:r>
      <w:r>
        <w:rPr>
          <w:lang w:val="en-US"/>
        </w:rPr>
        <w:t>, op. cit., p. 288.</w:t>
      </w:r>
    </w:p>
  </w:footnote>
  <w:footnote w:id="9">
    <w:p w:rsidR="00B20C61" w:rsidRDefault="00B20C6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715AF">
        <w:rPr>
          <w:i/>
        </w:rPr>
        <w:t>T.C Briciu</w:t>
      </w:r>
      <w:r w:rsidRPr="002715AF">
        <w:t xml:space="preserve">, </w:t>
      </w:r>
      <w:r w:rsidR="008C5A69">
        <w:rPr>
          <w:i/>
        </w:rPr>
        <w:t>C.C Dinu, P. P</w:t>
      </w:r>
      <w:r w:rsidR="008C5A69">
        <w:rPr>
          <w:lang w:val="en-US"/>
        </w:rPr>
        <w:t>op,</w:t>
      </w:r>
      <w:r w:rsidR="008C5A69">
        <w:rPr>
          <w:rFonts w:cstheme="minorHAnsi"/>
          <w:lang w:val="en-US" w:eastAsia="en-US"/>
        </w:rPr>
        <w:t xml:space="preserve"> </w:t>
      </w:r>
      <w:r>
        <w:rPr>
          <w:rFonts w:cstheme="minorHAnsi"/>
          <w:lang w:val="en-US" w:eastAsia="en-US"/>
        </w:rPr>
        <w:t>op. cit., p. 377</w:t>
      </w:r>
      <w:r>
        <w:rPr>
          <w:rFonts w:ascii="Times New Roman" w:hAnsi="Times New Roman" w:cs="Times New Roman"/>
          <w:sz w:val="22"/>
          <w:szCs w:val="22"/>
          <w:lang w:val="en-US" w:eastAsia="en-US"/>
        </w:rPr>
        <w:t>.</w:t>
      </w:r>
    </w:p>
  </w:footnote>
  <w:footnote w:id="10">
    <w:p w:rsidR="00C85E9A" w:rsidRDefault="00C85E9A">
      <w:pPr>
        <w:pStyle w:val="FootnoteText"/>
      </w:pPr>
      <w:r>
        <w:rPr>
          <w:rStyle w:val="FootnoteReference"/>
        </w:rPr>
        <w:footnoteRef/>
      </w:r>
      <w:r>
        <w:t xml:space="preserve"> Conform art. 229 alin. (3) din Statutul profesiei de avocat ,, </w:t>
      </w:r>
      <w:r w:rsidRPr="00C85E9A">
        <w:rPr>
          <w:bCs/>
          <w:lang w:val="en-US"/>
        </w:rPr>
        <w:t>(3)</w:t>
      </w:r>
      <w:r w:rsidRPr="00C85E9A">
        <w:rPr>
          <w:lang w:val="en-US"/>
        </w:rPr>
        <w:t xml:space="preserve"> Avocatul este obligat să respecte solemnitatea şedinţelor de judecată şi să pledeze cu demnitate. Avocatului îi </w:t>
      </w:r>
      <w:proofErr w:type="gramStart"/>
      <w:r w:rsidRPr="00C85E9A">
        <w:rPr>
          <w:lang w:val="en-US"/>
        </w:rPr>
        <w:t>este</w:t>
      </w:r>
      <w:proofErr w:type="gramEnd"/>
      <w:r w:rsidRPr="00C85E9A">
        <w:rPr>
          <w:lang w:val="en-US"/>
        </w:rPr>
        <w:t xml:space="preserve"> interzis să folosească expresii care ar putea leza instanţa şi participanţii la proces, atât în şedinţa de judecată, cât şi în afara acesteia</w:t>
      </w:r>
      <w:r>
        <w:rPr>
          <w:lang w:val="en-US"/>
        </w:rPr>
        <w:t>”</w:t>
      </w:r>
      <w:r w:rsidRPr="00C85E9A">
        <w:rPr>
          <w:lang w:val="en-US"/>
        </w:rPr>
        <w:t>.</w:t>
      </w:r>
    </w:p>
  </w:footnote>
  <w:footnote w:id="11">
    <w:p w:rsidR="009477F5" w:rsidRDefault="009477F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473B">
        <w:rPr>
          <w:i/>
          <w:lang w:val="en-US"/>
        </w:rPr>
        <w:t>I. Leș, D. Ghiță</w:t>
      </w:r>
      <w:r w:rsidRPr="00126B68">
        <w:rPr>
          <w:lang w:val="en-US"/>
        </w:rPr>
        <w:t>, op. cit., p.</w:t>
      </w:r>
      <w:r>
        <w:rPr>
          <w:lang w:val="en-US"/>
        </w:rPr>
        <w:t xml:space="preserve"> 285.</w:t>
      </w:r>
    </w:p>
  </w:footnote>
  <w:footnote w:id="12">
    <w:p w:rsidR="00E23E31" w:rsidRDefault="00E23E3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23E31">
        <w:rPr>
          <w:i/>
          <w:lang w:val="en-US"/>
        </w:rPr>
        <w:t>L. Cătuna, N. Bedrosian, L. Drăgoi, C.Tufariu, T.Blidariu, A. Nicola, I. Voinea</w:t>
      </w:r>
      <w:r w:rsidRPr="00E23E31">
        <w:rPr>
          <w:lang w:val="en-US"/>
        </w:rPr>
        <w:t>, op. cit.,</w:t>
      </w:r>
      <w:r>
        <w:rPr>
          <w:lang w:val="en-US"/>
        </w:rPr>
        <w:t xml:space="preserve"> p. </w:t>
      </w:r>
      <w:r w:rsidRPr="00E23E31">
        <w:rPr>
          <w:lang w:val="en-US"/>
        </w:rPr>
        <w:t>23</w:t>
      </w:r>
      <w:r>
        <w:rPr>
          <w:lang w:val="en-US"/>
        </w:rPr>
        <w:t>.</w:t>
      </w:r>
    </w:p>
  </w:footnote>
  <w:footnote w:id="13">
    <w:p w:rsidR="001271D6" w:rsidRPr="001271D6" w:rsidRDefault="001271D6">
      <w:pPr>
        <w:pStyle w:val="FootnoteText"/>
        <w:rPr>
          <w:rFonts w:cstheme="minorHAnsi"/>
          <w:lang w:val="en-US" w:eastAsia="en-US"/>
        </w:rPr>
      </w:pPr>
      <w:r>
        <w:rPr>
          <w:rStyle w:val="FootnoteReference"/>
        </w:rPr>
        <w:footnoteRef/>
      </w:r>
      <w:r>
        <w:t xml:space="preserve"> </w:t>
      </w:r>
      <w:r w:rsidRPr="00A2473B">
        <w:rPr>
          <w:i/>
        </w:rPr>
        <w:t>L. Cătuna, N. Bedrosian, L. Drăgoi, C.Tufariu, T.Blidariu, A. Nicola, I. Voinea</w:t>
      </w:r>
      <w:r>
        <w:t xml:space="preserve">, </w:t>
      </w:r>
      <w:r w:rsidRPr="002715AF">
        <w:rPr>
          <w:rFonts w:cstheme="minorHAnsi"/>
          <w:lang w:val="en-US" w:eastAsia="en-US"/>
        </w:rPr>
        <w:t>op. cit.,</w:t>
      </w:r>
      <w:r>
        <w:rPr>
          <w:rFonts w:cstheme="minorHAnsi"/>
          <w:lang w:val="en-US" w:eastAsia="en-US"/>
        </w:rPr>
        <w:t xml:space="preserve"> p. 22-23</w:t>
      </w:r>
      <w:r>
        <w:rPr>
          <w:rFonts w:ascii="Times New Roman" w:hAnsi="Times New Roman" w:cs="Times New Roman"/>
          <w:sz w:val="22"/>
          <w:szCs w:val="22"/>
          <w:lang w:val="en-US" w:eastAsia="en-US"/>
        </w:rPr>
        <w:t>.</w:t>
      </w:r>
    </w:p>
  </w:footnote>
  <w:footnote w:id="14">
    <w:p w:rsidR="00F86383" w:rsidRPr="00F86383" w:rsidRDefault="00F8638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86383">
        <w:rPr>
          <w:i/>
        </w:rPr>
        <w:t>D. Oancea, T. C Briciu, Ș. Naubauer</w:t>
      </w:r>
      <w:r>
        <w:rPr>
          <w:i/>
        </w:rPr>
        <w:t xml:space="preserve">, </w:t>
      </w:r>
      <w:r w:rsidRPr="00F86383">
        <w:t xml:space="preserve">Legea privind organizarea și exercitarea profesiei de avocat. Comentariu pe articole, ed. a 2-a, Ed. </w:t>
      </w:r>
      <w:r w:rsidRPr="00F86383">
        <w:rPr>
          <w:lang w:val="en-US"/>
        </w:rPr>
        <w:t>C.H Beck, București, 2019</w:t>
      </w:r>
      <w:r>
        <w:rPr>
          <w:lang w:val="en-US"/>
        </w:rPr>
        <w:t xml:space="preserve">, </w:t>
      </w:r>
      <w:r w:rsidRPr="00F86383">
        <w:rPr>
          <w:lang w:val="en-US"/>
        </w:rPr>
        <w:t>p</w:t>
      </w:r>
      <w:r w:rsidRPr="00F86383">
        <w:t>.4.</w:t>
      </w:r>
    </w:p>
  </w:footnote>
  <w:footnote w:id="15">
    <w:p w:rsidR="00C60B05" w:rsidRDefault="00C60B0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477F5" w:rsidRPr="00A2473B">
        <w:rPr>
          <w:i/>
          <w:lang w:val="en-US"/>
        </w:rPr>
        <w:t>I. Leș, D. Ghiță</w:t>
      </w:r>
      <w:r w:rsidR="009477F5">
        <w:rPr>
          <w:lang w:val="en-US"/>
        </w:rPr>
        <w:t xml:space="preserve">, op. cit., </w:t>
      </w:r>
      <w:r>
        <w:t>p. 291.</w:t>
      </w:r>
    </w:p>
  </w:footnote>
  <w:footnote w:id="16">
    <w:p w:rsidR="00AD147E" w:rsidRPr="00AD147E" w:rsidRDefault="00937C8B" w:rsidP="00AD147E">
      <w:pPr>
        <w:pStyle w:val="FootnoteText"/>
        <w:rPr>
          <w:bCs/>
        </w:rPr>
      </w:pPr>
      <w:r>
        <w:rPr>
          <w:rStyle w:val="FootnoteReference"/>
        </w:rPr>
        <w:footnoteRef/>
      </w:r>
      <w:r>
        <w:t xml:space="preserve"> </w:t>
      </w:r>
      <w:r w:rsidR="00347DE0">
        <w:rPr>
          <w:bCs/>
        </w:rPr>
        <w:t>P</w:t>
      </w:r>
      <w:r w:rsidR="00AD147E">
        <w:rPr>
          <w:bCs/>
        </w:rPr>
        <w:t xml:space="preserve">otrivit art. 14 </w:t>
      </w:r>
      <w:r w:rsidR="00347DE0">
        <w:rPr>
          <w:bCs/>
        </w:rPr>
        <w:t xml:space="preserve">din </w:t>
      </w:r>
      <w:r w:rsidR="00347DE0" w:rsidRPr="00937C8B">
        <w:rPr>
          <w:lang w:val="en-US"/>
        </w:rPr>
        <w:t xml:space="preserve">Legea nr. 51/1995 </w:t>
      </w:r>
      <w:r w:rsidR="00AD147E" w:rsidRPr="00AD147E">
        <w:rPr>
          <w:bCs/>
        </w:rPr>
        <w:t xml:space="preserve"> ,, Este nedemn de a fi avocat</w:t>
      </w:r>
      <w:r w:rsidR="00AD147E" w:rsidRPr="00AD147E">
        <w:rPr>
          <w:bCs/>
          <w:lang w:val="en-US"/>
        </w:rPr>
        <w:t xml:space="preserve">: </w:t>
      </w:r>
    </w:p>
    <w:p w:rsidR="00AD147E" w:rsidRPr="00347DE0" w:rsidRDefault="00AD147E" w:rsidP="00AD147E">
      <w:pPr>
        <w:pStyle w:val="FootnoteText"/>
        <w:rPr>
          <w:bCs/>
          <w:lang w:val="en-US"/>
        </w:rPr>
      </w:pPr>
      <w:r w:rsidRPr="00347DE0">
        <w:rPr>
          <w:bCs/>
          <w:lang w:val="en-US"/>
        </w:rPr>
        <w:t>a) cel condamnat definitiv prin hotărâre judecătorească la pedeapsa cu închisoare pentru săvârşirea unei infracţiuni intenţionate, de natură să aducă atingere prestigiului profesiei</w:t>
      </w:r>
      <w:r w:rsidRPr="00347DE0">
        <w:rPr>
          <w:bCs/>
          <w:vertAlign w:val="superscript"/>
          <w:lang w:val="en-US"/>
        </w:rPr>
        <w:t>*)</w:t>
      </w:r>
      <w:r w:rsidRPr="00347DE0">
        <w:rPr>
          <w:bCs/>
          <w:lang w:val="en-US"/>
        </w:rPr>
        <w:t>;</w:t>
      </w:r>
    </w:p>
    <w:p w:rsidR="00AD147E" w:rsidRPr="00347DE0" w:rsidRDefault="00AD147E" w:rsidP="00AD147E">
      <w:pPr>
        <w:pStyle w:val="FootnoteText"/>
        <w:rPr>
          <w:bCs/>
          <w:lang w:val="en-US"/>
        </w:rPr>
      </w:pPr>
      <w:r w:rsidRPr="00347DE0">
        <w:rPr>
          <w:bCs/>
          <w:lang w:val="en-US"/>
        </w:rPr>
        <w:t>b) cel care a săvârşit abuzuri prin care au fost încălcate drepturile şi libertăţile fundamentale ale omului, stabilite prin hotărâre judecătorească, sau a săvârşit abateri disciplinare grave, sancţionate cu măsura excluderii din profesie, ca sancţiune disciplinară;</w:t>
      </w:r>
    </w:p>
    <w:p w:rsidR="00AD147E" w:rsidRPr="00347DE0" w:rsidRDefault="00AD147E" w:rsidP="00AD147E">
      <w:pPr>
        <w:pStyle w:val="FootnoteText"/>
        <w:rPr>
          <w:bCs/>
          <w:lang w:val="en-US"/>
        </w:rPr>
      </w:pPr>
      <w:r w:rsidRPr="00347DE0">
        <w:rPr>
          <w:bCs/>
          <w:lang w:val="en-US"/>
        </w:rPr>
        <w:t>c) cel căruia i s-a aplicat pedeapsa interdicţiei de a exercita profesia, pe durata stabilită prin hotărâre judecătorească sau disciplinară;</w:t>
      </w:r>
    </w:p>
    <w:p w:rsidR="00937C8B" w:rsidRPr="004465BF" w:rsidRDefault="00AD147E">
      <w:pPr>
        <w:pStyle w:val="FootnoteText"/>
        <w:rPr>
          <w:bCs/>
          <w:lang w:val="en-US"/>
        </w:rPr>
      </w:pPr>
      <w:r w:rsidRPr="00347DE0">
        <w:rPr>
          <w:bCs/>
          <w:lang w:val="en-US"/>
        </w:rPr>
        <w:t>d) cel în sarcina căruia s-a reţinut, în baza unei hotărâri judecătoreşti definitive sau prin acte ale organelor profesiei</w:t>
      </w:r>
      <w:r w:rsidRPr="00AD147E">
        <w:rPr>
          <w:bCs/>
          <w:lang w:val="en-US"/>
        </w:rPr>
        <w:t xml:space="preserve"> de avocat, fapta de a fi exercitat sau sprijinit, sub orice formă, exercitarea fără drept de către o</w:t>
      </w:r>
      <w:r w:rsidR="00347DE0">
        <w:rPr>
          <w:bCs/>
          <w:lang w:val="en-US"/>
        </w:rPr>
        <w:t xml:space="preserve"> persoană a profesiei de avocat.</w:t>
      </w:r>
      <w:r w:rsidRPr="00AD147E">
        <w:rPr>
          <w:bCs/>
          <w:lang w:val="en-US"/>
        </w:rPr>
        <w:t>”</w:t>
      </w:r>
    </w:p>
  </w:footnote>
  <w:footnote w:id="17">
    <w:p w:rsidR="00726ED9" w:rsidRDefault="00726ED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26ED9">
        <w:rPr>
          <w:i/>
          <w:lang w:val="en-US"/>
        </w:rPr>
        <w:t>I. Leș, D. Ghiță</w:t>
      </w:r>
      <w:r w:rsidRPr="00726ED9">
        <w:rPr>
          <w:lang w:val="en-US"/>
        </w:rPr>
        <w:t>, op. cit., p. 291.</w:t>
      </w:r>
    </w:p>
  </w:footnote>
  <w:footnote w:id="18">
    <w:p w:rsidR="00126B68" w:rsidRDefault="00126B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473B">
        <w:rPr>
          <w:i/>
          <w:lang w:val="en-US"/>
        </w:rPr>
        <w:t>I. Leș, D. Ghiță</w:t>
      </w:r>
      <w:r w:rsidRPr="00126B68">
        <w:rPr>
          <w:lang w:val="en-US"/>
        </w:rPr>
        <w:t>, op.</w:t>
      </w:r>
      <w:r w:rsidR="00726ED9">
        <w:rPr>
          <w:lang w:val="en-US"/>
        </w:rPr>
        <w:t xml:space="preserve"> cit., p. 291</w:t>
      </w:r>
      <w:r w:rsidRPr="00126B68">
        <w:rPr>
          <w:lang w:val="en-US"/>
        </w:rPr>
        <w:t>.</w:t>
      </w:r>
    </w:p>
  </w:footnote>
  <w:footnote w:id="19">
    <w:p w:rsidR="0044395B" w:rsidRDefault="0044395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E552C" w:rsidRPr="00A2473B">
        <w:rPr>
          <w:i/>
        </w:rPr>
        <w:t>Ș. Naubauer</w:t>
      </w:r>
      <w:r w:rsidR="006E552C">
        <w:t>, Legea organizării și exercitării profesiei de avocat explicații teoretice și practice(articolele 1-27), ed. a 2-a, rev. și adăug, Ed. Universul Juridic, București, 2021, p. 138.</w:t>
      </w:r>
    </w:p>
  </w:footnote>
  <w:footnote w:id="20">
    <w:p w:rsidR="0044395B" w:rsidRDefault="0044395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E552C" w:rsidRPr="00A2473B">
        <w:rPr>
          <w:i/>
        </w:rPr>
        <w:t>Ș. Naubauer</w:t>
      </w:r>
      <w:r w:rsidR="006E552C">
        <w:t>, op. cit., p. 138.</w:t>
      </w:r>
    </w:p>
  </w:footnote>
  <w:footnote w:id="21">
    <w:p w:rsidR="00EA538F" w:rsidRDefault="00EA538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473B">
        <w:rPr>
          <w:i/>
          <w:lang w:val="en-US"/>
        </w:rPr>
        <w:t>I. Leș, D. Ghiță</w:t>
      </w:r>
      <w:r w:rsidR="009A75E2">
        <w:rPr>
          <w:lang w:val="en-US"/>
        </w:rPr>
        <w:t>, op. cit., p. 291</w:t>
      </w:r>
      <w:r w:rsidRPr="00126B68">
        <w:rPr>
          <w:lang w:val="en-US"/>
        </w:rPr>
        <w:t>.</w:t>
      </w:r>
    </w:p>
  </w:footnote>
  <w:footnote w:id="22">
    <w:p w:rsidR="00275691" w:rsidRDefault="0027569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lang w:val="en-US"/>
        </w:rPr>
        <w:t xml:space="preserve">I. </w:t>
      </w:r>
      <w:r w:rsidRPr="00275691">
        <w:rPr>
          <w:i/>
          <w:lang w:val="en-US"/>
        </w:rPr>
        <w:t>Leș, D. Ghiță</w:t>
      </w:r>
      <w:r w:rsidRPr="00275691">
        <w:rPr>
          <w:lang w:val="en-US"/>
        </w:rPr>
        <w:t>, op. cit., p. 291</w:t>
      </w:r>
      <w:r>
        <w:rPr>
          <w:lang w:val="en-US"/>
        </w:rPr>
        <w:t>.</w:t>
      </w:r>
    </w:p>
  </w:footnote>
  <w:footnote w:id="23">
    <w:p w:rsidR="00275691" w:rsidRDefault="0027569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75691">
        <w:rPr>
          <w:i/>
          <w:lang w:val="en-US"/>
        </w:rPr>
        <w:t>. Leș, D. Ghiță</w:t>
      </w:r>
      <w:r w:rsidRPr="00275691">
        <w:rPr>
          <w:lang w:val="en-US"/>
        </w:rPr>
        <w:t>, op. cit., p. 29</w:t>
      </w:r>
      <w:r>
        <w:rPr>
          <w:lang w:val="en-US"/>
        </w:rPr>
        <w:t>2.</w:t>
      </w:r>
    </w:p>
  </w:footnote>
  <w:footnote w:id="24">
    <w:p w:rsidR="00B43D83" w:rsidRDefault="00B43D8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473B">
        <w:rPr>
          <w:i/>
          <w:lang w:val="en-US"/>
        </w:rPr>
        <w:t>I. Leș, D. Ghiță</w:t>
      </w:r>
      <w:r w:rsidRPr="00B43D83">
        <w:rPr>
          <w:lang w:val="en-US"/>
        </w:rPr>
        <w:t>,</w:t>
      </w:r>
      <w:r w:rsidRPr="00B43D83">
        <w:rPr>
          <w:rFonts w:eastAsiaTheme="minorHAnsi" w:cstheme="minorHAnsi"/>
          <w:sz w:val="22"/>
          <w:szCs w:val="22"/>
          <w:lang w:val="en-US" w:eastAsia="en-US"/>
        </w:rPr>
        <w:t xml:space="preserve"> </w:t>
      </w:r>
      <w:r w:rsidRPr="00B43D83">
        <w:rPr>
          <w:lang w:val="en-US"/>
        </w:rPr>
        <w:t>op. cit.,</w:t>
      </w:r>
      <w:r>
        <w:rPr>
          <w:lang w:val="en-US"/>
        </w:rPr>
        <w:t xml:space="preserve"> p. 292.</w:t>
      </w:r>
    </w:p>
  </w:footnote>
  <w:footnote w:id="25">
    <w:p w:rsidR="003259D3" w:rsidRPr="003259D3" w:rsidRDefault="003259D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425945">
          <w:rPr>
            <w:rStyle w:val="Hyperlink"/>
          </w:rPr>
          <w:t>https://www.ccr.ro/comunicat-de-presa-28-aprilie-2022/</w:t>
        </w:r>
      </w:hyperlink>
      <w:r w:rsidR="005E0810">
        <w:t>, 29.04.2022</w:t>
      </w:r>
      <w:r>
        <w:t>.</w:t>
      </w:r>
    </w:p>
  </w:footnote>
  <w:footnote w:id="26">
    <w:p w:rsidR="00D85775" w:rsidRDefault="00D85775">
      <w:pPr>
        <w:pStyle w:val="FootnoteText"/>
      </w:pPr>
      <w:r>
        <w:rPr>
          <w:rStyle w:val="FootnoteReference"/>
        </w:rPr>
        <w:footnoteRef/>
      </w:r>
      <w:r>
        <w:t xml:space="preserve"> Constituția României</w:t>
      </w:r>
      <w:r w:rsidR="00362C30">
        <w:t xml:space="preserve">, </w:t>
      </w:r>
      <w:r w:rsidR="00362C30">
        <w:rPr>
          <w:lang w:val="en-US"/>
        </w:rPr>
        <w:t>cu modificările și completările aduse prin Legea de revizuire a Constituției României nr. 429 /2003</w:t>
      </w:r>
      <w:proofErr w:type="gramStart"/>
      <w:r w:rsidR="000B4234">
        <w:rPr>
          <w:lang w:val="en-US"/>
        </w:rPr>
        <w:t>( M.Of</w:t>
      </w:r>
      <w:proofErr w:type="gramEnd"/>
      <w:r w:rsidR="000B4234">
        <w:rPr>
          <w:lang w:val="en-US"/>
        </w:rPr>
        <w:t>. nr. 758 din 29 octombrie 2003</w:t>
      </w:r>
      <w:r w:rsidR="000B4234" w:rsidRPr="00997BE7">
        <w:rPr>
          <w:lang w:val="en-US"/>
        </w:rPr>
        <w:t>)</w:t>
      </w:r>
      <w:r w:rsidR="000D52A6" w:rsidRPr="00997BE7">
        <w:rPr>
          <w:lang w:val="en-US"/>
        </w:rPr>
        <w:t>.</w:t>
      </w:r>
    </w:p>
  </w:footnote>
  <w:footnote w:id="27">
    <w:p w:rsidR="0037376B" w:rsidRDefault="0037376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473B">
        <w:rPr>
          <w:i/>
        </w:rPr>
        <w:t>Ș. Naubauer</w:t>
      </w:r>
      <w:r w:rsidR="006E552C">
        <w:t xml:space="preserve">, op. cit., </w:t>
      </w:r>
      <w:r>
        <w:t>p. 143.</w:t>
      </w:r>
    </w:p>
  </w:footnote>
  <w:footnote w:id="28">
    <w:p w:rsidR="00355C74" w:rsidRDefault="00355C7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55C74">
        <w:rPr>
          <w:i/>
          <w:lang w:val="en-US"/>
        </w:rPr>
        <w:t>Ș. Naubauer</w:t>
      </w:r>
      <w:r w:rsidRPr="00355C74">
        <w:rPr>
          <w:lang w:val="en-US"/>
        </w:rPr>
        <w:t>, op. cit., p. 143</w:t>
      </w:r>
      <w:r>
        <w:rPr>
          <w:lang w:val="en-US"/>
        </w:rPr>
        <w:t>.</w:t>
      </w:r>
    </w:p>
  </w:footnote>
  <w:footnote w:id="29">
    <w:p w:rsidR="00C967B1" w:rsidRDefault="00C967B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473B">
        <w:rPr>
          <w:i/>
          <w:lang w:val="en-US"/>
        </w:rPr>
        <w:t>Ș. Naubauer</w:t>
      </w:r>
      <w:r>
        <w:rPr>
          <w:lang w:val="en-US"/>
        </w:rPr>
        <w:t>, op. cit., p. 143.</w:t>
      </w:r>
    </w:p>
  </w:footnote>
  <w:footnote w:id="30">
    <w:p w:rsidR="007F486F" w:rsidRDefault="007F486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473B">
        <w:rPr>
          <w:i/>
          <w:lang w:val="en-US"/>
        </w:rPr>
        <w:t>Ș. Naubauer</w:t>
      </w:r>
      <w:r>
        <w:rPr>
          <w:lang w:val="en-US"/>
        </w:rPr>
        <w:t>, op. cit., p. 144.</w:t>
      </w:r>
    </w:p>
  </w:footnote>
  <w:footnote w:id="31">
    <w:p w:rsidR="00355C74" w:rsidRDefault="00355C7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55C74">
        <w:rPr>
          <w:i/>
          <w:lang w:val="en-US"/>
        </w:rPr>
        <w:t>Ș. Naubauer</w:t>
      </w:r>
      <w:r>
        <w:rPr>
          <w:lang w:val="en-US"/>
        </w:rPr>
        <w:t>, op. cit., p. 144-145</w:t>
      </w:r>
      <w:r w:rsidRPr="00355C74">
        <w:rPr>
          <w:lang w:val="en-US"/>
        </w:rPr>
        <w:t>.</w:t>
      </w:r>
    </w:p>
  </w:footnote>
  <w:footnote w:id="32">
    <w:p w:rsidR="00080965" w:rsidRDefault="000809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80965">
        <w:rPr>
          <w:i/>
          <w:lang w:val="en-US"/>
        </w:rPr>
        <w:t>Ș. Naubauer</w:t>
      </w:r>
      <w:r>
        <w:rPr>
          <w:lang w:val="en-US"/>
        </w:rPr>
        <w:t>, op. cit., p. 145</w:t>
      </w:r>
      <w:r w:rsidRPr="00080965">
        <w:rPr>
          <w:lang w:val="en-US"/>
        </w:rPr>
        <w:t>.</w:t>
      </w:r>
    </w:p>
  </w:footnote>
  <w:footnote w:id="33">
    <w:p w:rsidR="00080965" w:rsidRDefault="000809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80965">
        <w:rPr>
          <w:i/>
          <w:lang w:val="en-US"/>
        </w:rPr>
        <w:t>Ș. Naubauer</w:t>
      </w:r>
      <w:r>
        <w:rPr>
          <w:lang w:val="en-US"/>
        </w:rPr>
        <w:t>, op. cit., p. 145</w:t>
      </w:r>
      <w:r w:rsidRPr="00080965">
        <w:rPr>
          <w:lang w:val="en-US"/>
        </w:rPr>
        <w:t>.</w:t>
      </w:r>
    </w:p>
  </w:footnote>
  <w:footnote w:id="34">
    <w:p w:rsidR="00080965" w:rsidRDefault="000809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80965">
        <w:rPr>
          <w:i/>
          <w:lang w:val="en-US"/>
        </w:rPr>
        <w:t>Ș. Naubauer</w:t>
      </w:r>
      <w:r>
        <w:rPr>
          <w:lang w:val="en-US"/>
        </w:rPr>
        <w:t>, op. cit., p. 145</w:t>
      </w:r>
      <w:r w:rsidRPr="00080965">
        <w:rPr>
          <w:lang w:val="en-US"/>
        </w:rPr>
        <w:t>.</w:t>
      </w:r>
    </w:p>
  </w:footnote>
  <w:footnote w:id="35">
    <w:p w:rsidR="00514940" w:rsidRDefault="0051494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4940">
        <w:rPr>
          <w:i/>
          <w:lang w:val="en-US"/>
        </w:rPr>
        <w:t>Ș. Naubauer</w:t>
      </w:r>
      <w:r w:rsidRPr="00514940">
        <w:rPr>
          <w:lang w:val="en-US"/>
        </w:rPr>
        <w:t>, op. cit., p. 145.</w:t>
      </w:r>
    </w:p>
  </w:footnote>
  <w:footnote w:id="36">
    <w:p w:rsidR="00BD2996" w:rsidRDefault="00BD299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473B">
        <w:rPr>
          <w:i/>
          <w:lang w:val="en-US"/>
        </w:rPr>
        <w:t>Ș. Naubauer</w:t>
      </w:r>
      <w:r>
        <w:rPr>
          <w:lang w:val="en-US"/>
        </w:rPr>
        <w:t>, op. cit., p. 146.</w:t>
      </w:r>
    </w:p>
  </w:footnote>
  <w:footnote w:id="37">
    <w:p w:rsidR="00080965" w:rsidRDefault="000809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80965">
        <w:rPr>
          <w:i/>
          <w:lang w:val="en-US"/>
        </w:rPr>
        <w:t>Ș. Naubauer</w:t>
      </w:r>
      <w:r>
        <w:rPr>
          <w:lang w:val="en-US"/>
        </w:rPr>
        <w:t>, op. cit., p. 146</w:t>
      </w:r>
      <w:r w:rsidRPr="00080965">
        <w:rPr>
          <w:lang w:val="en-US"/>
        </w:rPr>
        <w:t>.</w:t>
      </w:r>
    </w:p>
  </w:footnote>
  <w:footnote w:id="38">
    <w:p w:rsidR="00264AA6" w:rsidRDefault="00264AA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473B">
        <w:rPr>
          <w:i/>
          <w:lang w:val="en-US"/>
        </w:rPr>
        <w:t>Ș. Naubauer</w:t>
      </w:r>
      <w:r>
        <w:rPr>
          <w:lang w:val="en-US"/>
        </w:rPr>
        <w:t>, op. cit., p. 146.</w:t>
      </w:r>
    </w:p>
  </w:footnote>
  <w:footnote w:id="39">
    <w:p w:rsidR="00080965" w:rsidRDefault="000809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80965">
        <w:rPr>
          <w:i/>
          <w:lang w:val="en-US"/>
        </w:rPr>
        <w:t>Ș. Naubauer</w:t>
      </w:r>
      <w:r>
        <w:rPr>
          <w:lang w:val="en-US"/>
        </w:rPr>
        <w:t>, op. cit., p. 146</w:t>
      </w:r>
      <w:r w:rsidRPr="00080965">
        <w:rPr>
          <w:lang w:val="en-US"/>
        </w:rPr>
        <w:t>.</w:t>
      </w:r>
    </w:p>
  </w:footnote>
  <w:footnote w:id="40">
    <w:p w:rsidR="00264AA6" w:rsidRDefault="00264AA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473B">
        <w:rPr>
          <w:i/>
          <w:lang w:val="en-US"/>
        </w:rPr>
        <w:t>Ș. Naubauer</w:t>
      </w:r>
      <w:r>
        <w:rPr>
          <w:lang w:val="en-US"/>
        </w:rPr>
        <w:t>, op. cit., p. 146.</w:t>
      </w:r>
    </w:p>
  </w:footnote>
  <w:footnote w:id="41">
    <w:p w:rsidR="00264AA6" w:rsidRDefault="00264AA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473B">
        <w:rPr>
          <w:i/>
          <w:lang w:val="en-US"/>
        </w:rPr>
        <w:t>Ș. Naubauer</w:t>
      </w:r>
      <w:r>
        <w:rPr>
          <w:lang w:val="en-US"/>
        </w:rPr>
        <w:t>, op. cit., p. 146.</w:t>
      </w:r>
    </w:p>
  </w:footnote>
  <w:footnote w:id="42">
    <w:p w:rsidR="00080965" w:rsidRDefault="000809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80965">
        <w:rPr>
          <w:i/>
          <w:lang w:val="en-US"/>
        </w:rPr>
        <w:t>Ș. Naubauer</w:t>
      </w:r>
      <w:r>
        <w:rPr>
          <w:lang w:val="en-US"/>
        </w:rPr>
        <w:t>, op. cit., p. 147</w:t>
      </w:r>
      <w:r w:rsidRPr="00080965">
        <w:rPr>
          <w:lang w:val="en-US"/>
        </w:rPr>
        <w:t>.</w:t>
      </w:r>
    </w:p>
  </w:footnote>
  <w:footnote w:id="43">
    <w:p w:rsidR="004052F8" w:rsidRPr="004052F8" w:rsidRDefault="004052F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052F8">
        <w:rPr>
          <w:i/>
          <w:lang w:val="en-US"/>
        </w:rPr>
        <w:t>D. Oancea, T. C Briciu, Ș. Naubauer</w:t>
      </w:r>
      <w:r>
        <w:rPr>
          <w:i/>
          <w:lang w:val="en-US"/>
        </w:rPr>
        <w:t>,</w:t>
      </w:r>
      <w:r>
        <w:rPr>
          <w:lang w:val="en-US"/>
        </w:rPr>
        <w:t xml:space="preserve"> op. cit., p. 6.</w:t>
      </w:r>
    </w:p>
  </w:footnote>
  <w:footnote w:id="44">
    <w:p w:rsidR="00264AA6" w:rsidRDefault="00264AA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473B">
        <w:rPr>
          <w:i/>
          <w:lang w:val="en-US"/>
        </w:rPr>
        <w:t>Ș. Naubauer</w:t>
      </w:r>
      <w:r>
        <w:rPr>
          <w:lang w:val="en-US"/>
        </w:rPr>
        <w:t>, op. cit., p. 147.</w:t>
      </w:r>
    </w:p>
  </w:footnote>
  <w:footnote w:id="45">
    <w:p w:rsidR="00080965" w:rsidRDefault="000809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80965">
        <w:rPr>
          <w:i/>
          <w:lang w:val="en-US"/>
        </w:rPr>
        <w:t>Ș. Naubauer</w:t>
      </w:r>
      <w:r>
        <w:rPr>
          <w:lang w:val="en-US"/>
        </w:rPr>
        <w:t>, op. cit., p. 147</w:t>
      </w:r>
      <w:r w:rsidRPr="00080965">
        <w:rPr>
          <w:lang w:val="en-US"/>
        </w:rPr>
        <w:t>.</w:t>
      </w:r>
    </w:p>
  </w:footnote>
  <w:footnote w:id="46">
    <w:p w:rsidR="00264AA6" w:rsidRDefault="00264AA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473B">
        <w:rPr>
          <w:i/>
          <w:lang w:val="en-US"/>
        </w:rPr>
        <w:t>Ș. Naubauer</w:t>
      </w:r>
      <w:r>
        <w:rPr>
          <w:lang w:val="en-US"/>
        </w:rPr>
        <w:t>, op. cit., p. 147.</w:t>
      </w:r>
    </w:p>
  </w:footnote>
  <w:footnote w:id="47">
    <w:p w:rsidR="00C5224C" w:rsidRDefault="00C5224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5224C">
        <w:rPr>
          <w:i/>
          <w:lang w:val="en-US"/>
        </w:rPr>
        <w:t>I. Leș, D. Ghiță</w:t>
      </w:r>
      <w:r w:rsidRPr="00C5224C">
        <w:rPr>
          <w:lang w:val="en-US"/>
        </w:rPr>
        <w:t>, op. cit., p. 291.</w:t>
      </w:r>
    </w:p>
  </w:footnote>
  <w:footnote w:id="48">
    <w:p w:rsidR="00657F92" w:rsidRDefault="00657F9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473B">
        <w:rPr>
          <w:i/>
          <w:lang w:val="en-US"/>
        </w:rPr>
        <w:t>I. Leș, D. Ghiță</w:t>
      </w:r>
      <w:r w:rsidR="00C5224C">
        <w:rPr>
          <w:lang w:val="en-US"/>
        </w:rPr>
        <w:t>, op. cit., p. 291</w:t>
      </w:r>
      <w:r w:rsidRPr="00657F92">
        <w:rPr>
          <w:lang w:val="en-US"/>
        </w:rPr>
        <w:t>.</w:t>
      </w:r>
    </w:p>
  </w:footnote>
  <w:footnote w:id="49">
    <w:p w:rsidR="001D296D" w:rsidRDefault="001D296D" w:rsidP="001D296D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 w:rsidRPr="00A2473B">
        <w:rPr>
          <w:i/>
          <w:lang w:val="en-US"/>
        </w:rPr>
        <w:t>I. Leș, D. Ghiță</w:t>
      </w:r>
      <w:r w:rsidRPr="00E17C7F">
        <w:rPr>
          <w:lang w:val="en-US"/>
        </w:rPr>
        <w:t>, op. cit.,</w:t>
      </w:r>
      <w:r>
        <w:rPr>
          <w:lang w:val="en-US"/>
        </w:rPr>
        <w:t xml:space="preserve"> p. 308</w:t>
      </w:r>
      <w:r w:rsidRPr="00E17C7F">
        <w:rPr>
          <w:lang w:val="en-US"/>
        </w:rPr>
        <w:t>.</w:t>
      </w:r>
    </w:p>
  </w:footnote>
  <w:footnote w:id="50">
    <w:p w:rsidR="00C91576" w:rsidRDefault="00C9157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473B">
        <w:rPr>
          <w:i/>
        </w:rPr>
        <w:t>L. Cătuna, N. Bedrosian, L. Drăgoi, C.Tufariu, T.Blidariu, A. Nicola</w:t>
      </w:r>
      <w:r>
        <w:t xml:space="preserve">, </w:t>
      </w:r>
      <w:r w:rsidRPr="00A2473B">
        <w:rPr>
          <w:i/>
        </w:rPr>
        <w:t>I. Voinea</w:t>
      </w:r>
      <w:r>
        <w:t xml:space="preserve">, </w:t>
      </w:r>
      <w:r w:rsidRPr="002715AF">
        <w:rPr>
          <w:rFonts w:cstheme="minorHAnsi"/>
          <w:lang w:val="en-US" w:eastAsia="en-US"/>
        </w:rPr>
        <w:t>op. cit.,</w:t>
      </w:r>
      <w:r>
        <w:rPr>
          <w:rFonts w:cstheme="minorHAnsi"/>
          <w:lang w:val="en-US" w:eastAsia="en-US"/>
        </w:rPr>
        <w:t xml:space="preserve"> p. 57-58</w:t>
      </w:r>
      <w:r>
        <w:rPr>
          <w:rFonts w:ascii="Times New Roman" w:hAnsi="Times New Roman" w:cs="Times New Roman"/>
          <w:sz w:val="22"/>
          <w:szCs w:val="22"/>
          <w:lang w:val="en-US" w:eastAsia="en-US"/>
        </w:rPr>
        <w:t>.</w:t>
      </w:r>
    </w:p>
  </w:footnote>
  <w:footnote w:id="51">
    <w:p w:rsidR="0060279F" w:rsidRDefault="0060279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473B">
        <w:rPr>
          <w:i/>
        </w:rPr>
        <w:t>L. Cătuna, N. Bedrosian, L. Drăgoi, C.Tufariu, T.Blidariu, A. Nicola</w:t>
      </w:r>
      <w:r>
        <w:t xml:space="preserve">, </w:t>
      </w:r>
      <w:r w:rsidRPr="00A2473B">
        <w:rPr>
          <w:i/>
        </w:rPr>
        <w:t>I. Voinea</w:t>
      </w:r>
      <w:r>
        <w:t xml:space="preserve">, </w:t>
      </w:r>
      <w:r w:rsidRPr="002715AF">
        <w:rPr>
          <w:rFonts w:cstheme="minorHAnsi"/>
          <w:lang w:val="en-US" w:eastAsia="en-US"/>
        </w:rPr>
        <w:t>op. cit.,</w:t>
      </w:r>
      <w:r>
        <w:rPr>
          <w:rFonts w:cstheme="minorHAnsi"/>
          <w:lang w:val="en-US" w:eastAsia="en-US"/>
        </w:rPr>
        <w:t xml:space="preserve"> p. 57-58</w:t>
      </w:r>
      <w:r>
        <w:rPr>
          <w:rFonts w:ascii="Times New Roman" w:hAnsi="Times New Roman" w:cs="Times New Roman"/>
          <w:sz w:val="22"/>
          <w:szCs w:val="22"/>
          <w:lang w:val="en-US" w:eastAsia="en-US"/>
        </w:rPr>
        <w:t>.</w:t>
      </w:r>
    </w:p>
  </w:footnote>
  <w:footnote w:id="52">
    <w:p w:rsidR="00AD0D6D" w:rsidRDefault="00AD0D6D">
      <w:pPr>
        <w:pStyle w:val="FootnoteText"/>
      </w:pPr>
      <w:r>
        <w:rPr>
          <w:rStyle w:val="FootnoteReference"/>
        </w:rPr>
        <w:footnoteRef/>
      </w:r>
      <w:r>
        <w:t xml:space="preserve"> L. Cătuna,</w:t>
      </w:r>
      <w:r w:rsidRPr="001271D6">
        <w:t xml:space="preserve"> </w:t>
      </w:r>
      <w:r>
        <w:t xml:space="preserve">N. Bedrosian, L. Drăgoi, C.Tufariu, T.Blidariu, A. Nicola, </w:t>
      </w:r>
      <w:r w:rsidRPr="00A2473B">
        <w:rPr>
          <w:i/>
        </w:rPr>
        <w:t>I. Voinea</w:t>
      </w:r>
      <w:r>
        <w:t xml:space="preserve">, </w:t>
      </w:r>
      <w:r w:rsidRPr="002715AF">
        <w:rPr>
          <w:rFonts w:cstheme="minorHAnsi"/>
          <w:lang w:val="en-US" w:eastAsia="en-US"/>
        </w:rPr>
        <w:t>op. cit.,</w:t>
      </w:r>
      <w:r w:rsidR="001A4CA8">
        <w:rPr>
          <w:rFonts w:cstheme="minorHAnsi"/>
          <w:lang w:val="en-US" w:eastAsia="en-US"/>
        </w:rPr>
        <w:t xml:space="preserve"> p. 58</w:t>
      </w:r>
      <w:r>
        <w:rPr>
          <w:rFonts w:ascii="Times New Roman" w:hAnsi="Times New Roman" w:cs="Times New Roman"/>
          <w:sz w:val="22"/>
          <w:szCs w:val="22"/>
          <w:lang w:val="en-US" w:eastAsia="en-US"/>
        </w:rPr>
        <w:t>.</w:t>
      </w:r>
    </w:p>
  </w:footnote>
  <w:footnote w:id="53">
    <w:p w:rsidR="00723516" w:rsidRDefault="0072351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23516">
        <w:rPr>
          <w:lang w:val="en-US"/>
        </w:rPr>
        <w:t xml:space="preserve">L. Cătuna, N. Bedrosian, L. Drăgoi, C.Tufariu, T.Blidariu, A. Nicola, </w:t>
      </w:r>
      <w:r w:rsidRPr="00723516">
        <w:rPr>
          <w:i/>
          <w:lang w:val="en-US"/>
        </w:rPr>
        <w:t>I. Voinea</w:t>
      </w:r>
      <w:r w:rsidRPr="00723516">
        <w:rPr>
          <w:lang w:val="en-US"/>
        </w:rPr>
        <w:t>, op. cit., p. 58.</w:t>
      </w:r>
    </w:p>
  </w:footnote>
  <w:footnote w:id="54">
    <w:p w:rsidR="001A4CA8" w:rsidRDefault="001A4CA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473B">
        <w:rPr>
          <w:i/>
        </w:rPr>
        <w:t>L. Cătuna, N. Bedrosian, L. Drăgoi, C.Tufariu, T.Blidariu, A. Nicola, I. Voinea</w:t>
      </w:r>
      <w:r>
        <w:t xml:space="preserve">, </w:t>
      </w:r>
      <w:r w:rsidRPr="002715AF">
        <w:rPr>
          <w:rFonts w:cstheme="minorHAnsi"/>
          <w:lang w:val="en-US" w:eastAsia="en-US"/>
        </w:rPr>
        <w:t>op. cit.,</w:t>
      </w:r>
      <w:r>
        <w:rPr>
          <w:rFonts w:cstheme="minorHAnsi"/>
          <w:lang w:val="en-US" w:eastAsia="en-US"/>
        </w:rPr>
        <w:t xml:space="preserve"> p. 58</w:t>
      </w:r>
      <w:r>
        <w:rPr>
          <w:rFonts w:ascii="Times New Roman" w:hAnsi="Times New Roman" w:cs="Times New Roman"/>
          <w:sz w:val="22"/>
          <w:szCs w:val="22"/>
          <w:lang w:val="en-US" w:eastAsia="en-US"/>
        </w:rPr>
        <w:t>.</w:t>
      </w:r>
    </w:p>
  </w:footnote>
  <w:footnote w:id="55">
    <w:p w:rsidR="00F1471D" w:rsidRDefault="00F1471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473B">
        <w:rPr>
          <w:i/>
        </w:rPr>
        <w:t>L. Cătuna, N. Bedrosian, L. Drăgoi, C.Tufariu, T.Blidariu, A. Nicola, I. Voinea</w:t>
      </w:r>
      <w:r>
        <w:t xml:space="preserve">, </w:t>
      </w:r>
      <w:r w:rsidRPr="002715AF">
        <w:rPr>
          <w:rFonts w:cstheme="minorHAnsi"/>
          <w:lang w:val="en-US" w:eastAsia="en-US"/>
        </w:rPr>
        <w:t>op. cit.,</w:t>
      </w:r>
      <w:r>
        <w:rPr>
          <w:rFonts w:cstheme="minorHAnsi"/>
          <w:lang w:val="en-US" w:eastAsia="en-US"/>
        </w:rPr>
        <w:t xml:space="preserve"> p. 58</w:t>
      </w:r>
    </w:p>
  </w:footnote>
  <w:footnote w:id="56">
    <w:p w:rsidR="006B0C65" w:rsidRPr="004E6022" w:rsidRDefault="006B0C65">
      <w:pPr>
        <w:pStyle w:val="FootnoteText"/>
        <w:rPr>
          <w:bCs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4E6022" w:rsidRPr="004E6022">
        <w:rPr>
          <w:bCs/>
          <w:lang w:val="en-US"/>
        </w:rPr>
        <w:t>Hotărârea Consiliului U.N.B.R. nr. 428/</w:t>
      </w:r>
      <w:proofErr w:type="gramStart"/>
      <w:r w:rsidR="004E6022" w:rsidRPr="004E6022">
        <w:rPr>
          <w:bCs/>
          <w:lang w:val="en-US"/>
        </w:rPr>
        <w:t>2018</w:t>
      </w:r>
      <w:r w:rsidR="004E6022">
        <w:rPr>
          <w:bCs/>
          <w:lang w:val="en-US"/>
        </w:rPr>
        <w:t xml:space="preserve">  privind</w:t>
      </w:r>
      <w:proofErr w:type="gramEnd"/>
      <w:r w:rsidR="004E6022">
        <w:rPr>
          <w:bCs/>
          <w:lang w:val="en-US"/>
        </w:rPr>
        <w:t xml:space="preserve"> modificarea </w:t>
      </w:r>
      <w:r w:rsidR="004E6022">
        <w:rPr>
          <w:bCs/>
        </w:rPr>
        <w:t xml:space="preserve">și completarea Statutului profesiei de avocat </w:t>
      </w:r>
      <w:r w:rsidR="004E6022" w:rsidRPr="004E6022">
        <w:rPr>
          <w:bCs/>
          <w:lang w:val="en-US"/>
        </w:rPr>
        <w:t>(M.Of. nr. 64 din 25 ianuarie 2019).</w:t>
      </w:r>
    </w:p>
  </w:footnote>
  <w:footnote w:id="57">
    <w:p w:rsidR="009F0E6B" w:rsidRPr="009F0E6B" w:rsidRDefault="009F0E6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 w:rsidR="00BC52AE" w:rsidRPr="00BC52AE">
        <w:rPr>
          <w:lang w:val="en-US"/>
        </w:rPr>
        <w:t>Statutul profesiei de avocat adoptat prin Hotărârea nr.</w:t>
      </w:r>
      <w:proofErr w:type="gramEnd"/>
      <w:r w:rsidR="00BC52AE" w:rsidRPr="00BC52AE">
        <w:rPr>
          <w:lang w:val="en-US"/>
        </w:rPr>
        <w:t xml:space="preserve"> </w:t>
      </w:r>
      <w:proofErr w:type="gramStart"/>
      <w:r w:rsidR="00BC52AE" w:rsidRPr="00BC52AE">
        <w:rPr>
          <w:lang w:val="en-US"/>
        </w:rPr>
        <w:t>64/2011 a Consiliului UNBR (M.Of. nr. 898 din 19 decembrie 2011) cu modificările şi completările aduse prin Hotărârea Uniunii Naționale a Barourilor din România (UNBR) nr.</w:t>
      </w:r>
      <w:proofErr w:type="gramEnd"/>
      <w:r w:rsidR="00BC52AE" w:rsidRPr="00BC52AE">
        <w:rPr>
          <w:lang w:val="en-US"/>
        </w:rPr>
        <w:t xml:space="preserve"> 428/2018</w:t>
      </w:r>
      <w:proofErr w:type="gramStart"/>
      <w:r w:rsidR="00BC52AE" w:rsidRPr="00BC52AE">
        <w:rPr>
          <w:lang w:val="en-US"/>
        </w:rPr>
        <w:t>  (</w:t>
      </w:r>
      <w:proofErr w:type="gramEnd"/>
      <w:r w:rsidR="00BC52AE" w:rsidRPr="00BC52AE">
        <w:rPr>
          <w:lang w:val="en-US"/>
        </w:rPr>
        <w:t>M.Of. nr. 64 din 25 ianuarie 2019).</w:t>
      </w:r>
    </w:p>
  </w:footnote>
  <w:footnote w:id="58">
    <w:p w:rsidR="00F40EC8" w:rsidRDefault="00F40E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="00BD6189" w:rsidRPr="00BD6189">
        <w:rPr>
          <w:lang w:val="en-US"/>
        </w:rPr>
        <w:t>Statutul profesiei de avocat adoptat prin Hotărârea nr.</w:t>
      </w:r>
      <w:proofErr w:type="gramEnd"/>
      <w:r w:rsidR="00BD6189" w:rsidRPr="00BD6189">
        <w:rPr>
          <w:lang w:val="en-US"/>
        </w:rPr>
        <w:t xml:space="preserve"> </w:t>
      </w:r>
      <w:proofErr w:type="gramStart"/>
      <w:r w:rsidR="00BD6189" w:rsidRPr="00BD6189">
        <w:rPr>
          <w:lang w:val="en-US"/>
        </w:rPr>
        <w:t>64/2011 a Consiliului UNBR (M.Of. nr. 898 din 19 decembrie 2011) cu modificările şi completările aduse prin Hotărârea Uniunii Naționale a Barourilor din România (UNBR) nr.</w:t>
      </w:r>
      <w:proofErr w:type="gramEnd"/>
      <w:r w:rsidR="00BD6189" w:rsidRPr="00BD6189">
        <w:rPr>
          <w:lang w:val="en-US"/>
        </w:rPr>
        <w:t xml:space="preserve"> 428/2018</w:t>
      </w:r>
      <w:proofErr w:type="gramStart"/>
      <w:r w:rsidR="00BD6189" w:rsidRPr="00BD6189">
        <w:rPr>
          <w:lang w:val="en-US"/>
        </w:rPr>
        <w:t>  (</w:t>
      </w:r>
      <w:proofErr w:type="gramEnd"/>
      <w:r w:rsidR="00BD6189" w:rsidRPr="00BD6189">
        <w:rPr>
          <w:lang w:val="en-US"/>
        </w:rPr>
        <w:t>M.Of. nr. 64 din 25 ianuarie 2019).</w:t>
      </w:r>
    </w:p>
  </w:footnote>
  <w:footnote w:id="59">
    <w:p w:rsidR="00F40EC8" w:rsidRDefault="00F40E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="00BD6189" w:rsidRPr="00BD6189">
        <w:rPr>
          <w:lang w:val="en-US"/>
        </w:rPr>
        <w:t>Statutul profesiei de avocat adoptat prin Hotărârea nr.</w:t>
      </w:r>
      <w:proofErr w:type="gramEnd"/>
      <w:r w:rsidR="00BD6189" w:rsidRPr="00BD6189">
        <w:rPr>
          <w:lang w:val="en-US"/>
        </w:rPr>
        <w:t xml:space="preserve"> </w:t>
      </w:r>
      <w:proofErr w:type="gramStart"/>
      <w:r w:rsidR="00BD6189" w:rsidRPr="00BD6189">
        <w:rPr>
          <w:lang w:val="en-US"/>
        </w:rPr>
        <w:t>64/2011 a Consiliului UNBR (M.Of. nr. 898 din 19 decembrie 2011) cu modificările şi completările aduse prin Hotărârea Uniunii Naționale a Barourilor din România (UNBR) nr.</w:t>
      </w:r>
      <w:proofErr w:type="gramEnd"/>
      <w:r w:rsidR="00BD6189" w:rsidRPr="00BD6189">
        <w:rPr>
          <w:lang w:val="en-US"/>
        </w:rPr>
        <w:t xml:space="preserve"> 428/2018</w:t>
      </w:r>
      <w:proofErr w:type="gramStart"/>
      <w:r w:rsidR="00BD6189" w:rsidRPr="00BD6189">
        <w:rPr>
          <w:lang w:val="en-US"/>
        </w:rPr>
        <w:t>  (</w:t>
      </w:r>
      <w:proofErr w:type="gramEnd"/>
      <w:r w:rsidR="00BD6189" w:rsidRPr="00BD6189">
        <w:rPr>
          <w:lang w:val="en-US"/>
        </w:rPr>
        <w:t>M.Of. nr. 64 din 25 ianuarie 2019).</w:t>
      </w:r>
    </w:p>
  </w:footnote>
  <w:footnote w:id="60">
    <w:p w:rsidR="000350E9" w:rsidRDefault="000350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473B">
        <w:rPr>
          <w:i/>
        </w:rPr>
        <w:t>L. Cătuna, N. Bedrosian, L. Drăgoi, C.Tufariu, T.Blidariu, A. Nicola, I. Voinea</w:t>
      </w:r>
      <w:r>
        <w:t xml:space="preserve">, </w:t>
      </w:r>
      <w:r w:rsidRPr="002715AF">
        <w:rPr>
          <w:rFonts w:cstheme="minorHAnsi"/>
          <w:lang w:val="en-US" w:eastAsia="en-US"/>
        </w:rPr>
        <w:t>op. cit.,</w:t>
      </w:r>
      <w:r>
        <w:rPr>
          <w:rFonts w:cstheme="minorHAnsi"/>
          <w:lang w:val="en-US" w:eastAsia="en-US"/>
        </w:rPr>
        <w:t xml:space="preserve"> p. 58</w:t>
      </w:r>
      <w:r w:rsidR="0090490B">
        <w:rPr>
          <w:rFonts w:cstheme="minorHAnsi"/>
          <w:lang w:val="en-US" w:eastAsia="en-US"/>
        </w:rPr>
        <w:t>.</w:t>
      </w:r>
    </w:p>
  </w:footnote>
  <w:footnote w:id="61">
    <w:p w:rsidR="003B45D1" w:rsidRDefault="003B45D1" w:rsidP="003B45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473B">
        <w:rPr>
          <w:i/>
        </w:rPr>
        <w:t>L. Cătuna, N. Bedrosian, L. Drăgoi, C.Tufariu, T.Blidariu, A. Nicola, I. Voinea</w:t>
      </w:r>
      <w:r>
        <w:t xml:space="preserve">, </w:t>
      </w:r>
      <w:r w:rsidRPr="002715AF">
        <w:rPr>
          <w:rFonts w:cstheme="minorHAnsi"/>
          <w:lang w:val="en-US" w:eastAsia="en-US"/>
        </w:rPr>
        <w:t>op. cit.,</w:t>
      </w:r>
      <w:r>
        <w:rPr>
          <w:rFonts w:cstheme="minorHAnsi"/>
          <w:lang w:val="en-US" w:eastAsia="en-US"/>
        </w:rPr>
        <w:t xml:space="preserve"> p. 58</w:t>
      </w:r>
      <w:r>
        <w:rPr>
          <w:rFonts w:ascii="Times New Roman" w:hAnsi="Times New Roman" w:cs="Times New Roman"/>
          <w:sz w:val="22"/>
          <w:szCs w:val="22"/>
          <w:lang w:val="en-US" w:eastAsia="en-US"/>
        </w:rPr>
        <w:t>.</w:t>
      </w:r>
    </w:p>
  </w:footnote>
  <w:footnote w:id="62">
    <w:p w:rsidR="003B45D1" w:rsidRDefault="003B45D1" w:rsidP="003B45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473B">
        <w:rPr>
          <w:i/>
        </w:rPr>
        <w:t>L. Cătuna, N. Bedrosian, L. Drăgoi, C.Tufariu, T.Blidariu, A. Nicola, I. Voinea</w:t>
      </w:r>
      <w:r>
        <w:t xml:space="preserve">, </w:t>
      </w:r>
      <w:r w:rsidRPr="002715AF">
        <w:rPr>
          <w:rFonts w:cstheme="minorHAnsi"/>
          <w:lang w:val="en-US" w:eastAsia="en-US"/>
        </w:rPr>
        <w:t>op. cit.,</w:t>
      </w:r>
      <w:r>
        <w:rPr>
          <w:rFonts w:cstheme="minorHAnsi"/>
          <w:lang w:val="en-US" w:eastAsia="en-US"/>
        </w:rPr>
        <w:t xml:space="preserve"> p. 59</w:t>
      </w:r>
      <w:r>
        <w:rPr>
          <w:rFonts w:ascii="Times New Roman" w:hAnsi="Times New Roman" w:cs="Times New Roman"/>
          <w:sz w:val="22"/>
          <w:szCs w:val="22"/>
          <w:lang w:val="en-US" w:eastAsia="en-US"/>
        </w:rPr>
        <w:t>.</w:t>
      </w:r>
    </w:p>
  </w:footnote>
  <w:footnote w:id="63">
    <w:p w:rsidR="00DD54BB" w:rsidRDefault="00DD54B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="00BD6189" w:rsidRPr="00BD6189">
        <w:rPr>
          <w:lang w:val="en-US"/>
        </w:rPr>
        <w:t>Statutul profesiei de avocat adoptat prin Hotărârea nr.</w:t>
      </w:r>
      <w:proofErr w:type="gramEnd"/>
      <w:r w:rsidR="00BD6189" w:rsidRPr="00BD6189">
        <w:rPr>
          <w:lang w:val="en-US"/>
        </w:rPr>
        <w:t xml:space="preserve"> </w:t>
      </w:r>
      <w:proofErr w:type="gramStart"/>
      <w:r w:rsidR="00BD6189" w:rsidRPr="00BD6189">
        <w:rPr>
          <w:lang w:val="en-US"/>
        </w:rPr>
        <w:t>64/2011 a Consiliului UNBR (M.Of. nr. 898 din 19 decembrie 2011) cu modificările şi completările aduse prin Hotărârea Uniunii Naționale a Barourilor din România (UNBR) nr.</w:t>
      </w:r>
      <w:proofErr w:type="gramEnd"/>
      <w:r w:rsidR="00BD6189" w:rsidRPr="00BD6189">
        <w:rPr>
          <w:lang w:val="en-US"/>
        </w:rPr>
        <w:t xml:space="preserve"> 428/2018</w:t>
      </w:r>
      <w:proofErr w:type="gramStart"/>
      <w:r w:rsidR="00BD6189" w:rsidRPr="00BD6189">
        <w:rPr>
          <w:lang w:val="en-US"/>
        </w:rPr>
        <w:t>  (</w:t>
      </w:r>
      <w:proofErr w:type="gramEnd"/>
      <w:r w:rsidR="00BD6189" w:rsidRPr="00BD6189">
        <w:rPr>
          <w:lang w:val="en-US"/>
        </w:rPr>
        <w:t>M.Of. nr. 64 din 25 ianuarie 2019).</w:t>
      </w:r>
    </w:p>
  </w:footnote>
  <w:footnote w:id="64">
    <w:p w:rsidR="00DD54BB" w:rsidRDefault="00DD54B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="00BD6189" w:rsidRPr="00BD6189">
        <w:rPr>
          <w:lang w:val="en-US"/>
        </w:rPr>
        <w:t>Statutul profesiei de avocat adoptat prin Hotărârea nr.</w:t>
      </w:r>
      <w:proofErr w:type="gramEnd"/>
      <w:r w:rsidR="00BD6189" w:rsidRPr="00BD6189">
        <w:rPr>
          <w:lang w:val="en-US"/>
        </w:rPr>
        <w:t xml:space="preserve"> </w:t>
      </w:r>
      <w:proofErr w:type="gramStart"/>
      <w:r w:rsidR="00BD6189" w:rsidRPr="00BD6189">
        <w:rPr>
          <w:lang w:val="en-US"/>
        </w:rPr>
        <w:t>64/2011 a Consiliului UNBR (M.Of. nr. 898 din 19 decembrie 2011) cu modificările şi completările aduse prin Hotărârea Uniunii Naționale a Barourilor din România (UNBR) nr.</w:t>
      </w:r>
      <w:proofErr w:type="gramEnd"/>
      <w:r w:rsidR="00BD6189" w:rsidRPr="00BD6189">
        <w:rPr>
          <w:lang w:val="en-US"/>
        </w:rPr>
        <w:t xml:space="preserve"> 428/2018</w:t>
      </w:r>
      <w:proofErr w:type="gramStart"/>
      <w:r w:rsidR="00BD6189" w:rsidRPr="00BD6189">
        <w:rPr>
          <w:lang w:val="en-US"/>
        </w:rPr>
        <w:t>  (</w:t>
      </w:r>
      <w:proofErr w:type="gramEnd"/>
      <w:r w:rsidR="00BD6189" w:rsidRPr="00BD6189">
        <w:rPr>
          <w:lang w:val="en-US"/>
        </w:rPr>
        <w:t>M.Of. nr. 64 din 25 ianuarie 2019).</w:t>
      </w:r>
    </w:p>
  </w:footnote>
  <w:footnote w:id="65">
    <w:p w:rsidR="00DD54BB" w:rsidRDefault="00DD54B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="00BD6189" w:rsidRPr="00BD6189">
        <w:rPr>
          <w:lang w:val="en-US"/>
        </w:rPr>
        <w:t>Statutul profesiei de avocat adoptat prin Hotărârea nr.</w:t>
      </w:r>
      <w:proofErr w:type="gramEnd"/>
      <w:r w:rsidR="00BD6189" w:rsidRPr="00BD6189">
        <w:rPr>
          <w:lang w:val="en-US"/>
        </w:rPr>
        <w:t xml:space="preserve"> </w:t>
      </w:r>
      <w:proofErr w:type="gramStart"/>
      <w:r w:rsidR="00BD6189" w:rsidRPr="00BD6189">
        <w:rPr>
          <w:lang w:val="en-US"/>
        </w:rPr>
        <w:t>64/2011 a Consiliului UNBR (M.Of. nr. 898 din 19 decembrie 2011) cu modificările şi completările aduse prin Hotărârea Uniunii Naționale a Barourilor din România (UNBR) nr.</w:t>
      </w:r>
      <w:proofErr w:type="gramEnd"/>
      <w:r w:rsidR="00BD6189" w:rsidRPr="00BD6189">
        <w:rPr>
          <w:lang w:val="en-US"/>
        </w:rPr>
        <w:t xml:space="preserve"> 428/2018</w:t>
      </w:r>
      <w:proofErr w:type="gramStart"/>
      <w:r w:rsidR="00BD6189" w:rsidRPr="00BD6189">
        <w:rPr>
          <w:lang w:val="en-US"/>
        </w:rPr>
        <w:t>  (</w:t>
      </w:r>
      <w:proofErr w:type="gramEnd"/>
      <w:r w:rsidR="00BD6189" w:rsidRPr="00BD6189">
        <w:rPr>
          <w:lang w:val="en-US"/>
        </w:rPr>
        <w:t>M.Of. nr. 64 din 25 ianuarie 2019).</w:t>
      </w:r>
    </w:p>
  </w:footnote>
  <w:footnote w:id="66">
    <w:p w:rsidR="00DD54BB" w:rsidRDefault="00DD54B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="00BD6189" w:rsidRPr="00BD6189">
        <w:rPr>
          <w:lang w:val="en-US"/>
        </w:rPr>
        <w:t>Statutul profesiei de avocat adoptat prin Hotărârea nr.</w:t>
      </w:r>
      <w:proofErr w:type="gramEnd"/>
      <w:r w:rsidR="00BD6189" w:rsidRPr="00BD6189">
        <w:rPr>
          <w:lang w:val="en-US"/>
        </w:rPr>
        <w:t xml:space="preserve"> </w:t>
      </w:r>
      <w:proofErr w:type="gramStart"/>
      <w:r w:rsidR="00BD6189" w:rsidRPr="00BD6189">
        <w:rPr>
          <w:lang w:val="en-US"/>
        </w:rPr>
        <w:t>64/2011 a Consiliului UNBR (M.Of. nr. 898 din 19 decembrie 2011) cu modificările şi completările aduse prin Hotărârea Uniunii Naționale a Barourilor din România (UNBR) nr.</w:t>
      </w:r>
      <w:proofErr w:type="gramEnd"/>
      <w:r w:rsidR="00BD6189" w:rsidRPr="00BD6189">
        <w:rPr>
          <w:lang w:val="en-US"/>
        </w:rPr>
        <w:t xml:space="preserve"> 428/2018</w:t>
      </w:r>
      <w:proofErr w:type="gramStart"/>
      <w:r w:rsidR="00BD6189" w:rsidRPr="00BD6189">
        <w:rPr>
          <w:lang w:val="en-US"/>
        </w:rPr>
        <w:t>  (</w:t>
      </w:r>
      <w:proofErr w:type="gramEnd"/>
      <w:r w:rsidR="00BD6189" w:rsidRPr="00BD6189">
        <w:rPr>
          <w:lang w:val="en-US"/>
        </w:rPr>
        <w:t>M.Of. nr. 64 din 25 ianuarie 2019).</w:t>
      </w:r>
    </w:p>
  </w:footnote>
  <w:footnote w:id="67">
    <w:p w:rsidR="00355C74" w:rsidRDefault="00355C7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355C74">
        <w:rPr>
          <w:lang w:val="en-US"/>
        </w:rPr>
        <w:t>Statutul profesiei de avocat adoptat prin Hotărârea nr.</w:t>
      </w:r>
      <w:proofErr w:type="gramEnd"/>
      <w:r w:rsidRPr="00355C74">
        <w:rPr>
          <w:lang w:val="en-US"/>
        </w:rPr>
        <w:t xml:space="preserve"> </w:t>
      </w:r>
      <w:proofErr w:type="gramStart"/>
      <w:r w:rsidRPr="00355C74">
        <w:rPr>
          <w:lang w:val="en-US"/>
        </w:rPr>
        <w:t>64/2011 a Consiliului UNBR (M.Of. nr. 898 din 19 decembrie 2011) cu modificările şi completările aduse prin Hotărârea Uniunii Naționale a Barourilor din România (UNBR) nr.</w:t>
      </w:r>
      <w:proofErr w:type="gramEnd"/>
      <w:r w:rsidRPr="00355C74">
        <w:rPr>
          <w:lang w:val="en-US"/>
        </w:rPr>
        <w:t xml:space="preserve"> 428/2018</w:t>
      </w:r>
      <w:proofErr w:type="gramStart"/>
      <w:r w:rsidRPr="00355C74">
        <w:rPr>
          <w:lang w:val="en-US"/>
        </w:rPr>
        <w:t>  (</w:t>
      </w:r>
      <w:proofErr w:type="gramEnd"/>
      <w:r w:rsidRPr="00355C74">
        <w:rPr>
          <w:lang w:val="en-US"/>
        </w:rPr>
        <w:t>M.Of. nr. 64 din 25 ianuarie 2019).</w:t>
      </w:r>
    </w:p>
  </w:footnote>
  <w:footnote w:id="68">
    <w:p w:rsidR="00DD54BB" w:rsidRDefault="00DD54B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="00BD6189" w:rsidRPr="00BD6189">
        <w:rPr>
          <w:lang w:val="en-US"/>
        </w:rPr>
        <w:t>Statutul profesiei de avocat adoptat prin Hotărârea nr.</w:t>
      </w:r>
      <w:proofErr w:type="gramEnd"/>
      <w:r w:rsidR="00BD6189" w:rsidRPr="00BD6189">
        <w:rPr>
          <w:lang w:val="en-US"/>
        </w:rPr>
        <w:t xml:space="preserve"> </w:t>
      </w:r>
      <w:proofErr w:type="gramStart"/>
      <w:r w:rsidR="00BD6189" w:rsidRPr="00BD6189">
        <w:rPr>
          <w:lang w:val="en-US"/>
        </w:rPr>
        <w:t>64/2011 a Consiliului UNBR (M.Of. nr. 898 din 19 decembrie 2011) cu modificările şi completările aduse prin Hotărârea Uniunii Naționale a Barourilor din România (UNBR) nr.</w:t>
      </w:r>
      <w:proofErr w:type="gramEnd"/>
      <w:r w:rsidR="00BD6189" w:rsidRPr="00BD6189">
        <w:rPr>
          <w:lang w:val="en-US"/>
        </w:rPr>
        <w:t xml:space="preserve"> 428/2018</w:t>
      </w:r>
      <w:proofErr w:type="gramStart"/>
      <w:r w:rsidR="00BD6189" w:rsidRPr="00BD6189">
        <w:rPr>
          <w:lang w:val="en-US"/>
        </w:rPr>
        <w:t>  (</w:t>
      </w:r>
      <w:proofErr w:type="gramEnd"/>
      <w:r w:rsidR="00BD6189" w:rsidRPr="00BD6189">
        <w:rPr>
          <w:lang w:val="en-US"/>
        </w:rPr>
        <w:t>M.Of. nr. 64 din 25 ianuarie 2019).</w:t>
      </w:r>
    </w:p>
  </w:footnote>
  <w:footnote w:id="69">
    <w:p w:rsidR="00355C74" w:rsidRDefault="00355C7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355C74">
        <w:rPr>
          <w:lang w:val="en-US"/>
        </w:rPr>
        <w:t>Statutul profesiei de avocat adoptat prin Hotărârea nr.</w:t>
      </w:r>
      <w:proofErr w:type="gramEnd"/>
      <w:r w:rsidRPr="00355C74">
        <w:rPr>
          <w:lang w:val="en-US"/>
        </w:rPr>
        <w:t xml:space="preserve"> </w:t>
      </w:r>
      <w:proofErr w:type="gramStart"/>
      <w:r w:rsidRPr="00355C74">
        <w:rPr>
          <w:lang w:val="en-US"/>
        </w:rPr>
        <w:t>64/2011 a Consiliului UNBR (M.Of. nr. 898 din 19 decembrie 2011) cu modificările şi completările aduse prin Hotărârea Uniunii Naționale a Barourilor din România (UNBR) nr.</w:t>
      </w:r>
      <w:proofErr w:type="gramEnd"/>
      <w:r w:rsidRPr="00355C74">
        <w:rPr>
          <w:lang w:val="en-US"/>
        </w:rPr>
        <w:t xml:space="preserve"> 428/2018</w:t>
      </w:r>
      <w:proofErr w:type="gramStart"/>
      <w:r w:rsidRPr="00355C74">
        <w:rPr>
          <w:lang w:val="en-US"/>
        </w:rPr>
        <w:t>  (</w:t>
      </w:r>
      <w:proofErr w:type="gramEnd"/>
      <w:r w:rsidRPr="00355C74">
        <w:rPr>
          <w:lang w:val="en-US"/>
        </w:rPr>
        <w:t>M.Of. nr. 64 din 25 ianuarie 2019).</w:t>
      </w:r>
    </w:p>
  </w:footnote>
  <w:footnote w:id="70">
    <w:p w:rsidR="00355C74" w:rsidRDefault="00355C7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355C74">
        <w:rPr>
          <w:lang w:val="en-US"/>
        </w:rPr>
        <w:t>Statutul profesiei de avocat adoptat prin Hotărârea nr.</w:t>
      </w:r>
      <w:proofErr w:type="gramEnd"/>
      <w:r w:rsidRPr="00355C74">
        <w:rPr>
          <w:lang w:val="en-US"/>
        </w:rPr>
        <w:t xml:space="preserve"> </w:t>
      </w:r>
      <w:proofErr w:type="gramStart"/>
      <w:r w:rsidRPr="00355C74">
        <w:rPr>
          <w:lang w:val="en-US"/>
        </w:rPr>
        <w:t>64/2011 a Consiliului UNBR (M.Of. nr. 898 din 19 decembrie 2011) cu modificările şi completările aduse prin Hotărârea Uniunii Naționale a Barourilor din România (UNBR) nr.</w:t>
      </w:r>
      <w:proofErr w:type="gramEnd"/>
      <w:r w:rsidRPr="00355C74">
        <w:rPr>
          <w:lang w:val="en-US"/>
        </w:rPr>
        <w:t xml:space="preserve"> 428/2018</w:t>
      </w:r>
      <w:proofErr w:type="gramStart"/>
      <w:r w:rsidRPr="00355C74">
        <w:rPr>
          <w:lang w:val="en-US"/>
        </w:rPr>
        <w:t>  (</w:t>
      </w:r>
      <w:proofErr w:type="gramEnd"/>
      <w:r w:rsidRPr="00355C74">
        <w:rPr>
          <w:lang w:val="en-US"/>
        </w:rPr>
        <w:t>M.Of. nr. 64 din 25 ianuarie 2019).</w:t>
      </w:r>
    </w:p>
  </w:footnote>
  <w:footnote w:id="71">
    <w:p w:rsidR="00DD54BB" w:rsidRDefault="00DD54B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="00BD6189" w:rsidRPr="00BD6189">
        <w:rPr>
          <w:lang w:val="en-US"/>
        </w:rPr>
        <w:t>Statutul profesiei de avocat adoptat prin Hotărârea nr.</w:t>
      </w:r>
      <w:proofErr w:type="gramEnd"/>
      <w:r w:rsidR="00BD6189" w:rsidRPr="00BD6189">
        <w:rPr>
          <w:lang w:val="en-US"/>
        </w:rPr>
        <w:t xml:space="preserve"> </w:t>
      </w:r>
      <w:proofErr w:type="gramStart"/>
      <w:r w:rsidR="00BD6189" w:rsidRPr="00BD6189">
        <w:rPr>
          <w:lang w:val="en-US"/>
        </w:rPr>
        <w:t>64/2011 a Consiliului UNBR (M.Of. nr. 898 din 19 decembrie 2011) cu modificările şi completările aduse prin Hotărârea Uniunii Naționale a Barourilor din România (UNBR) nr.</w:t>
      </w:r>
      <w:proofErr w:type="gramEnd"/>
      <w:r w:rsidR="00BD6189" w:rsidRPr="00BD6189">
        <w:rPr>
          <w:lang w:val="en-US"/>
        </w:rPr>
        <w:t xml:space="preserve"> 428/2018</w:t>
      </w:r>
      <w:proofErr w:type="gramStart"/>
      <w:r w:rsidR="00BD6189" w:rsidRPr="00BD6189">
        <w:rPr>
          <w:lang w:val="en-US"/>
        </w:rPr>
        <w:t>  (</w:t>
      </w:r>
      <w:proofErr w:type="gramEnd"/>
      <w:r w:rsidR="00BD6189" w:rsidRPr="00BD6189">
        <w:rPr>
          <w:lang w:val="en-US"/>
        </w:rPr>
        <w:t>M.Of. nr. 64 din 25 ianuarie 2019).</w:t>
      </w:r>
    </w:p>
  </w:footnote>
  <w:footnote w:id="72">
    <w:p w:rsidR="00BA51E2" w:rsidRDefault="00BA51E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473B">
        <w:rPr>
          <w:i/>
          <w:lang w:val="en-US"/>
        </w:rPr>
        <w:t>I. Leș, D. Ghiță</w:t>
      </w:r>
      <w:r>
        <w:rPr>
          <w:lang w:val="en-US"/>
        </w:rPr>
        <w:t>, op. cit., p. 288.</w:t>
      </w:r>
    </w:p>
  </w:footnote>
  <w:footnote w:id="73">
    <w:p w:rsidR="00BA51E2" w:rsidRDefault="00BA51E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06DC1" w:rsidRPr="00CA1F14">
        <w:rPr>
          <w:i/>
        </w:rPr>
        <w:t>T.C Briciu</w:t>
      </w:r>
      <w:r w:rsidR="00906DC1" w:rsidRPr="00CA1F14">
        <w:t xml:space="preserve">, </w:t>
      </w:r>
      <w:r w:rsidR="008C5A69">
        <w:rPr>
          <w:i/>
        </w:rPr>
        <w:t>C.C Dinu, P. P</w:t>
      </w:r>
      <w:r w:rsidR="008C5A69">
        <w:rPr>
          <w:lang w:val="en-US"/>
        </w:rPr>
        <w:t xml:space="preserve">op </w:t>
      </w:r>
      <w:r w:rsidR="00906DC1">
        <w:rPr>
          <w:lang w:val="en-US"/>
        </w:rPr>
        <w:t>op. cit., p. 33</w:t>
      </w:r>
      <w:r w:rsidR="00906DC1" w:rsidRPr="00CA1F14">
        <w:rPr>
          <w:lang w:val="en-US"/>
        </w:rPr>
        <w:t>7</w:t>
      </w:r>
      <w:r w:rsidR="00906DC1">
        <w:rPr>
          <w:rFonts w:cstheme="minorHAnsi"/>
          <w:lang w:val="en-US" w:eastAsia="en-US"/>
        </w:rPr>
        <w:t>.</w:t>
      </w:r>
    </w:p>
  </w:footnote>
  <w:footnote w:id="74">
    <w:p w:rsidR="0084755F" w:rsidRDefault="0084755F" w:rsidP="0084755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473B">
        <w:rPr>
          <w:i/>
        </w:rPr>
        <w:t>L. Cătuna, N. Bedrosian, L. Drăgoi, C.Tufariu, T.Blidariu, A. Nicola, I. Voinea</w:t>
      </w:r>
      <w:r>
        <w:t xml:space="preserve">, </w:t>
      </w:r>
      <w:r w:rsidRPr="002715AF">
        <w:rPr>
          <w:rFonts w:cstheme="minorHAnsi"/>
          <w:lang w:val="en-US" w:eastAsia="en-US"/>
        </w:rPr>
        <w:t>op. cit.,</w:t>
      </w:r>
      <w:r>
        <w:rPr>
          <w:rFonts w:cstheme="minorHAnsi"/>
          <w:lang w:val="en-US" w:eastAsia="en-US"/>
        </w:rPr>
        <w:t xml:space="preserve"> p. 22</w:t>
      </w:r>
      <w:r>
        <w:rPr>
          <w:rFonts w:ascii="Times New Roman" w:hAnsi="Times New Roman" w:cs="Times New Roman"/>
          <w:sz w:val="22"/>
          <w:szCs w:val="22"/>
          <w:lang w:val="en-US" w:eastAsia="en-US"/>
        </w:rPr>
        <w:t>.</w:t>
      </w:r>
    </w:p>
  </w:footnote>
  <w:footnote w:id="75">
    <w:p w:rsidR="000F1A28" w:rsidRDefault="000F1A2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473B">
        <w:rPr>
          <w:i/>
          <w:lang w:val="en-US"/>
        </w:rPr>
        <w:t>I. Leș, D. Ghiță</w:t>
      </w:r>
      <w:r>
        <w:rPr>
          <w:lang w:val="en-US"/>
        </w:rPr>
        <w:t>, op. cit., p. 291.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E2A07"/>
    <w:multiLevelType w:val="hybridMultilevel"/>
    <w:tmpl w:val="8876B922"/>
    <w:lvl w:ilvl="0" w:tplc="8F0AFF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E2"/>
    <w:rsid w:val="0000115B"/>
    <w:rsid w:val="000100D2"/>
    <w:rsid w:val="00011EBD"/>
    <w:rsid w:val="00014FA4"/>
    <w:rsid w:val="0001583B"/>
    <w:rsid w:val="0002571A"/>
    <w:rsid w:val="000350E9"/>
    <w:rsid w:val="000365A9"/>
    <w:rsid w:val="000434F7"/>
    <w:rsid w:val="000513C1"/>
    <w:rsid w:val="00052962"/>
    <w:rsid w:val="00053715"/>
    <w:rsid w:val="00066500"/>
    <w:rsid w:val="00067EC1"/>
    <w:rsid w:val="000740DF"/>
    <w:rsid w:val="00075316"/>
    <w:rsid w:val="00080965"/>
    <w:rsid w:val="000923F9"/>
    <w:rsid w:val="000936B9"/>
    <w:rsid w:val="00093D85"/>
    <w:rsid w:val="00094ED8"/>
    <w:rsid w:val="000973CD"/>
    <w:rsid w:val="000A4A69"/>
    <w:rsid w:val="000A7F2B"/>
    <w:rsid w:val="000B4234"/>
    <w:rsid w:val="000C2CFF"/>
    <w:rsid w:val="000C2D6B"/>
    <w:rsid w:val="000C2E9E"/>
    <w:rsid w:val="000D05F4"/>
    <w:rsid w:val="000D4DE6"/>
    <w:rsid w:val="000D52A6"/>
    <w:rsid w:val="000E2815"/>
    <w:rsid w:val="000E32DA"/>
    <w:rsid w:val="000F03E5"/>
    <w:rsid w:val="000F1A28"/>
    <w:rsid w:val="000F481B"/>
    <w:rsid w:val="00105AC1"/>
    <w:rsid w:val="001074A9"/>
    <w:rsid w:val="001134C2"/>
    <w:rsid w:val="001201FD"/>
    <w:rsid w:val="00126B68"/>
    <w:rsid w:val="001271D6"/>
    <w:rsid w:val="001330E6"/>
    <w:rsid w:val="00143791"/>
    <w:rsid w:val="00150068"/>
    <w:rsid w:val="00153CAE"/>
    <w:rsid w:val="00157BC5"/>
    <w:rsid w:val="0016061B"/>
    <w:rsid w:val="00164004"/>
    <w:rsid w:val="00170323"/>
    <w:rsid w:val="00181BE4"/>
    <w:rsid w:val="0018543A"/>
    <w:rsid w:val="001922FF"/>
    <w:rsid w:val="001A3CF9"/>
    <w:rsid w:val="001A4124"/>
    <w:rsid w:val="001A4CA8"/>
    <w:rsid w:val="001B0961"/>
    <w:rsid w:val="001C0EE0"/>
    <w:rsid w:val="001C7A1E"/>
    <w:rsid w:val="001D296D"/>
    <w:rsid w:val="001D5ADF"/>
    <w:rsid w:val="001D5FBC"/>
    <w:rsid w:val="001E2D08"/>
    <w:rsid w:val="001F7572"/>
    <w:rsid w:val="001F7F58"/>
    <w:rsid w:val="0020563D"/>
    <w:rsid w:val="00210193"/>
    <w:rsid w:val="00211676"/>
    <w:rsid w:val="00211BA4"/>
    <w:rsid w:val="00212D51"/>
    <w:rsid w:val="002153F8"/>
    <w:rsid w:val="0021690D"/>
    <w:rsid w:val="00217A1D"/>
    <w:rsid w:val="00232218"/>
    <w:rsid w:val="002345D4"/>
    <w:rsid w:val="00235BCD"/>
    <w:rsid w:val="00255A60"/>
    <w:rsid w:val="00255D67"/>
    <w:rsid w:val="00261B20"/>
    <w:rsid w:val="00262412"/>
    <w:rsid w:val="00264AA6"/>
    <w:rsid w:val="00266D4D"/>
    <w:rsid w:val="0026732C"/>
    <w:rsid w:val="002715AF"/>
    <w:rsid w:val="00274653"/>
    <w:rsid w:val="00275319"/>
    <w:rsid w:val="00275691"/>
    <w:rsid w:val="00280A9F"/>
    <w:rsid w:val="00281F8E"/>
    <w:rsid w:val="00291EDA"/>
    <w:rsid w:val="00297B55"/>
    <w:rsid w:val="002A4130"/>
    <w:rsid w:val="002B48C9"/>
    <w:rsid w:val="002B7031"/>
    <w:rsid w:val="002D058B"/>
    <w:rsid w:val="002D4BD7"/>
    <w:rsid w:val="002D7D22"/>
    <w:rsid w:val="002F049F"/>
    <w:rsid w:val="0030216B"/>
    <w:rsid w:val="00305FF0"/>
    <w:rsid w:val="003137BD"/>
    <w:rsid w:val="00313A4D"/>
    <w:rsid w:val="0032136F"/>
    <w:rsid w:val="00322FBE"/>
    <w:rsid w:val="0032326C"/>
    <w:rsid w:val="003241EF"/>
    <w:rsid w:val="003253CF"/>
    <w:rsid w:val="0032549F"/>
    <w:rsid w:val="003259D3"/>
    <w:rsid w:val="0032707F"/>
    <w:rsid w:val="00335B0E"/>
    <w:rsid w:val="00340C63"/>
    <w:rsid w:val="003431BB"/>
    <w:rsid w:val="00344810"/>
    <w:rsid w:val="00347735"/>
    <w:rsid w:val="00347DE0"/>
    <w:rsid w:val="00351A0E"/>
    <w:rsid w:val="003545B9"/>
    <w:rsid w:val="00355C74"/>
    <w:rsid w:val="00357F09"/>
    <w:rsid w:val="00362C30"/>
    <w:rsid w:val="003652BF"/>
    <w:rsid w:val="0036576E"/>
    <w:rsid w:val="00365FDE"/>
    <w:rsid w:val="00366883"/>
    <w:rsid w:val="00370C8F"/>
    <w:rsid w:val="0037376B"/>
    <w:rsid w:val="003745B7"/>
    <w:rsid w:val="00376E6B"/>
    <w:rsid w:val="003860D9"/>
    <w:rsid w:val="00386234"/>
    <w:rsid w:val="00393CF6"/>
    <w:rsid w:val="00395740"/>
    <w:rsid w:val="00395D74"/>
    <w:rsid w:val="003A4509"/>
    <w:rsid w:val="003B45D1"/>
    <w:rsid w:val="003C0498"/>
    <w:rsid w:val="003C41E4"/>
    <w:rsid w:val="003D0D0E"/>
    <w:rsid w:val="003D1E7C"/>
    <w:rsid w:val="003E1220"/>
    <w:rsid w:val="003E5F6E"/>
    <w:rsid w:val="003E7480"/>
    <w:rsid w:val="003F1072"/>
    <w:rsid w:val="003F3DB2"/>
    <w:rsid w:val="00400E8D"/>
    <w:rsid w:val="004052F8"/>
    <w:rsid w:val="004075B7"/>
    <w:rsid w:val="00410BE0"/>
    <w:rsid w:val="004150FE"/>
    <w:rsid w:val="00417F4C"/>
    <w:rsid w:val="004335D4"/>
    <w:rsid w:val="00437180"/>
    <w:rsid w:val="0044395B"/>
    <w:rsid w:val="004465BF"/>
    <w:rsid w:val="00454A53"/>
    <w:rsid w:val="004602BD"/>
    <w:rsid w:val="00470B34"/>
    <w:rsid w:val="004854B7"/>
    <w:rsid w:val="0049233F"/>
    <w:rsid w:val="00496C2D"/>
    <w:rsid w:val="00496CAA"/>
    <w:rsid w:val="004A081B"/>
    <w:rsid w:val="004A2D51"/>
    <w:rsid w:val="004A4C35"/>
    <w:rsid w:val="004B461B"/>
    <w:rsid w:val="004B5A49"/>
    <w:rsid w:val="004C4AEE"/>
    <w:rsid w:val="004C7CDD"/>
    <w:rsid w:val="004D0CD8"/>
    <w:rsid w:val="004D4329"/>
    <w:rsid w:val="004D7C25"/>
    <w:rsid w:val="004E12C7"/>
    <w:rsid w:val="004E6022"/>
    <w:rsid w:val="004E6466"/>
    <w:rsid w:val="004F4408"/>
    <w:rsid w:val="004F62F2"/>
    <w:rsid w:val="004F67EF"/>
    <w:rsid w:val="004F6B80"/>
    <w:rsid w:val="004F7E2D"/>
    <w:rsid w:val="0050485D"/>
    <w:rsid w:val="005052EF"/>
    <w:rsid w:val="00505626"/>
    <w:rsid w:val="005132E2"/>
    <w:rsid w:val="00514940"/>
    <w:rsid w:val="005157B6"/>
    <w:rsid w:val="00530232"/>
    <w:rsid w:val="00536836"/>
    <w:rsid w:val="005429E8"/>
    <w:rsid w:val="00544AA4"/>
    <w:rsid w:val="005451D5"/>
    <w:rsid w:val="00552B40"/>
    <w:rsid w:val="00555BD2"/>
    <w:rsid w:val="00560685"/>
    <w:rsid w:val="00560C27"/>
    <w:rsid w:val="00563598"/>
    <w:rsid w:val="005640FD"/>
    <w:rsid w:val="005713F6"/>
    <w:rsid w:val="00573A09"/>
    <w:rsid w:val="0057647C"/>
    <w:rsid w:val="0057654B"/>
    <w:rsid w:val="005846A7"/>
    <w:rsid w:val="005A094D"/>
    <w:rsid w:val="005A5595"/>
    <w:rsid w:val="005A7108"/>
    <w:rsid w:val="005B04ED"/>
    <w:rsid w:val="005B2164"/>
    <w:rsid w:val="005C3F84"/>
    <w:rsid w:val="005C6928"/>
    <w:rsid w:val="005D6891"/>
    <w:rsid w:val="005D6EB6"/>
    <w:rsid w:val="005E0810"/>
    <w:rsid w:val="005E0E35"/>
    <w:rsid w:val="005E5DE2"/>
    <w:rsid w:val="005F3BB5"/>
    <w:rsid w:val="005F682C"/>
    <w:rsid w:val="00601F68"/>
    <w:rsid w:val="0060279F"/>
    <w:rsid w:val="006144C1"/>
    <w:rsid w:val="00632A30"/>
    <w:rsid w:val="00636591"/>
    <w:rsid w:val="00637843"/>
    <w:rsid w:val="00642EF8"/>
    <w:rsid w:val="0064602B"/>
    <w:rsid w:val="00652B22"/>
    <w:rsid w:val="006539CE"/>
    <w:rsid w:val="00657F92"/>
    <w:rsid w:val="00661F15"/>
    <w:rsid w:val="0066385D"/>
    <w:rsid w:val="006672F3"/>
    <w:rsid w:val="006736B4"/>
    <w:rsid w:val="00675992"/>
    <w:rsid w:val="00680F65"/>
    <w:rsid w:val="006908C5"/>
    <w:rsid w:val="00690909"/>
    <w:rsid w:val="00690D86"/>
    <w:rsid w:val="006A2B27"/>
    <w:rsid w:val="006A5876"/>
    <w:rsid w:val="006A7B04"/>
    <w:rsid w:val="006B0C65"/>
    <w:rsid w:val="006B27DA"/>
    <w:rsid w:val="006C285B"/>
    <w:rsid w:val="006D128A"/>
    <w:rsid w:val="006D413F"/>
    <w:rsid w:val="006D5D34"/>
    <w:rsid w:val="006E010D"/>
    <w:rsid w:val="006E2688"/>
    <w:rsid w:val="006E31B6"/>
    <w:rsid w:val="006E37F9"/>
    <w:rsid w:val="006E552C"/>
    <w:rsid w:val="006E57A7"/>
    <w:rsid w:val="006F15EA"/>
    <w:rsid w:val="006F4AE7"/>
    <w:rsid w:val="00705937"/>
    <w:rsid w:val="00705D18"/>
    <w:rsid w:val="00707977"/>
    <w:rsid w:val="00710251"/>
    <w:rsid w:val="007102A1"/>
    <w:rsid w:val="00716CAA"/>
    <w:rsid w:val="00717BF6"/>
    <w:rsid w:val="00720C0A"/>
    <w:rsid w:val="00723516"/>
    <w:rsid w:val="00726ED9"/>
    <w:rsid w:val="00732EEC"/>
    <w:rsid w:val="007366FC"/>
    <w:rsid w:val="00737EE2"/>
    <w:rsid w:val="00741446"/>
    <w:rsid w:val="00753D8E"/>
    <w:rsid w:val="007621A7"/>
    <w:rsid w:val="007662E2"/>
    <w:rsid w:val="00773F58"/>
    <w:rsid w:val="007749DF"/>
    <w:rsid w:val="007835A4"/>
    <w:rsid w:val="00794692"/>
    <w:rsid w:val="007A1240"/>
    <w:rsid w:val="007A2A1C"/>
    <w:rsid w:val="007A6A11"/>
    <w:rsid w:val="007C0FA5"/>
    <w:rsid w:val="007C2637"/>
    <w:rsid w:val="007C7B89"/>
    <w:rsid w:val="007D275A"/>
    <w:rsid w:val="007D488E"/>
    <w:rsid w:val="007E1737"/>
    <w:rsid w:val="007F2909"/>
    <w:rsid w:val="007F486F"/>
    <w:rsid w:val="00802991"/>
    <w:rsid w:val="00804111"/>
    <w:rsid w:val="0080463A"/>
    <w:rsid w:val="00810742"/>
    <w:rsid w:val="0081079F"/>
    <w:rsid w:val="008151D3"/>
    <w:rsid w:val="00821FED"/>
    <w:rsid w:val="0083763E"/>
    <w:rsid w:val="008404B2"/>
    <w:rsid w:val="0084179A"/>
    <w:rsid w:val="0084755F"/>
    <w:rsid w:val="00847E74"/>
    <w:rsid w:val="008564DF"/>
    <w:rsid w:val="00863ED1"/>
    <w:rsid w:val="00874583"/>
    <w:rsid w:val="008775F2"/>
    <w:rsid w:val="0087786A"/>
    <w:rsid w:val="00882FE1"/>
    <w:rsid w:val="008837E6"/>
    <w:rsid w:val="00895CF2"/>
    <w:rsid w:val="008A360B"/>
    <w:rsid w:val="008A668E"/>
    <w:rsid w:val="008A7306"/>
    <w:rsid w:val="008B6D90"/>
    <w:rsid w:val="008C5A69"/>
    <w:rsid w:val="008D0463"/>
    <w:rsid w:val="008E0750"/>
    <w:rsid w:val="008E5C74"/>
    <w:rsid w:val="008F67D0"/>
    <w:rsid w:val="0090490B"/>
    <w:rsid w:val="00906DC1"/>
    <w:rsid w:val="00911EC5"/>
    <w:rsid w:val="00924CC3"/>
    <w:rsid w:val="0092575A"/>
    <w:rsid w:val="00933558"/>
    <w:rsid w:val="0093564F"/>
    <w:rsid w:val="00937C8B"/>
    <w:rsid w:val="00942E71"/>
    <w:rsid w:val="009436A6"/>
    <w:rsid w:val="00946D82"/>
    <w:rsid w:val="009477F5"/>
    <w:rsid w:val="00950ED3"/>
    <w:rsid w:val="009527AC"/>
    <w:rsid w:val="00956DE7"/>
    <w:rsid w:val="009618AE"/>
    <w:rsid w:val="009703FA"/>
    <w:rsid w:val="009716A4"/>
    <w:rsid w:val="00984182"/>
    <w:rsid w:val="00985EFC"/>
    <w:rsid w:val="00987D9E"/>
    <w:rsid w:val="00997BE7"/>
    <w:rsid w:val="009A0550"/>
    <w:rsid w:val="009A218F"/>
    <w:rsid w:val="009A2EBB"/>
    <w:rsid w:val="009A319A"/>
    <w:rsid w:val="009A3944"/>
    <w:rsid w:val="009A4A61"/>
    <w:rsid w:val="009A4BBB"/>
    <w:rsid w:val="009A538B"/>
    <w:rsid w:val="009A75E2"/>
    <w:rsid w:val="009B0498"/>
    <w:rsid w:val="009B7E44"/>
    <w:rsid w:val="009C2390"/>
    <w:rsid w:val="009C6B32"/>
    <w:rsid w:val="009D2761"/>
    <w:rsid w:val="009E23DB"/>
    <w:rsid w:val="009E54B8"/>
    <w:rsid w:val="009E768B"/>
    <w:rsid w:val="009F0E6B"/>
    <w:rsid w:val="00A0378C"/>
    <w:rsid w:val="00A04E09"/>
    <w:rsid w:val="00A13D74"/>
    <w:rsid w:val="00A150D1"/>
    <w:rsid w:val="00A15E5E"/>
    <w:rsid w:val="00A20B61"/>
    <w:rsid w:val="00A22111"/>
    <w:rsid w:val="00A2473B"/>
    <w:rsid w:val="00A250B4"/>
    <w:rsid w:val="00A35D28"/>
    <w:rsid w:val="00A41DCC"/>
    <w:rsid w:val="00A55E41"/>
    <w:rsid w:val="00A57889"/>
    <w:rsid w:val="00A60CC9"/>
    <w:rsid w:val="00A6614D"/>
    <w:rsid w:val="00A66B52"/>
    <w:rsid w:val="00A741C3"/>
    <w:rsid w:val="00A76612"/>
    <w:rsid w:val="00A7766B"/>
    <w:rsid w:val="00A77E49"/>
    <w:rsid w:val="00A83CEF"/>
    <w:rsid w:val="00A859D4"/>
    <w:rsid w:val="00A87647"/>
    <w:rsid w:val="00A930BD"/>
    <w:rsid w:val="00A94732"/>
    <w:rsid w:val="00A95F25"/>
    <w:rsid w:val="00AA0833"/>
    <w:rsid w:val="00AA7585"/>
    <w:rsid w:val="00AB1F83"/>
    <w:rsid w:val="00AB6893"/>
    <w:rsid w:val="00AC2568"/>
    <w:rsid w:val="00AC25F4"/>
    <w:rsid w:val="00AC4690"/>
    <w:rsid w:val="00AD0D6D"/>
    <w:rsid w:val="00AD147E"/>
    <w:rsid w:val="00AD43D1"/>
    <w:rsid w:val="00AD549C"/>
    <w:rsid w:val="00AE1DC0"/>
    <w:rsid w:val="00AE40FC"/>
    <w:rsid w:val="00AE4C86"/>
    <w:rsid w:val="00AE56FD"/>
    <w:rsid w:val="00AE6BA8"/>
    <w:rsid w:val="00AF4347"/>
    <w:rsid w:val="00AF45A9"/>
    <w:rsid w:val="00AF6F75"/>
    <w:rsid w:val="00B05BF9"/>
    <w:rsid w:val="00B11571"/>
    <w:rsid w:val="00B20C61"/>
    <w:rsid w:val="00B25372"/>
    <w:rsid w:val="00B2675F"/>
    <w:rsid w:val="00B3257C"/>
    <w:rsid w:val="00B32BBC"/>
    <w:rsid w:val="00B37D76"/>
    <w:rsid w:val="00B42222"/>
    <w:rsid w:val="00B424AB"/>
    <w:rsid w:val="00B43D83"/>
    <w:rsid w:val="00B4757C"/>
    <w:rsid w:val="00B51F80"/>
    <w:rsid w:val="00B56D2C"/>
    <w:rsid w:val="00B7077E"/>
    <w:rsid w:val="00B74215"/>
    <w:rsid w:val="00B838E8"/>
    <w:rsid w:val="00B85D6E"/>
    <w:rsid w:val="00B9224D"/>
    <w:rsid w:val="00B92982"/>
    <w:rsid w:val="00B9536C"/>
    <w:rsid w:val="00BA0555"/>
    <w:rsid w:val="00BA51E2"/>
    <w:rsid w:val="00BB007A"/>
    <w:rsid w:val="00BB1DFA"/>
    <w:rsid w:val="00BB3202"/>
    <w:rsid w:val="00BB71E0"/>
    <w:rsid w:val="00BC0D57"/>
    <w:rsid w:val="00BC52AE"/>
    <w:rsid w:val="00BD2996"/>
    <w:rsid w:val="00BD58A3"/>
    <w:rsid w:val="00BD6189"/>
    <w:rsid w:val="00BE233B"/>
    <w:rsid w:val="00BF41C6"/>
    <w:rsid w:val="00C03E42"/>
    <w:rsid w:val="00C052EF"/>
    <w:rsid w:val="00C05677"/>
    <w:rsid w:val="00C07021"/>
    <w:rsid w:val="00C15AD9"/>
    <w:rsid w:val="00C2645B"/>
    <w:rsid w:val="00C27347"/>
    <w:rsid w:val="00C31394"/>
    <w:rsid w:val="00C3438C"/>
    <w:rsid w:val="00C40391"/>
    <w:rsid w:val="00C41E3B"/>
    <w:rsid w:val="00C43DB4"/>
    <w:rsid w:val="00C44C78"/>
    <w:rsid w:val="00C5224C"/>
    <w:rsid w:val="00C5234E"/>
    <w:rsid w:val="00C537DD"/>
    <w:rsid w:val="00C548EA"/>
    <w:rsid w:val="00C57137"/>
    <w:rsid w:val="00C57E36"/>
    <w:rsid w:val="00C60B05"/>
    <w:rsid w:val="00C61AE0"/>
    <w:rsid w:val="00C72314"/>
    <w:rsid w:val="00C741F9"/>
    <w:rsid w:val="00C768EC"/>
    <w:rsid w:val="00C85E9A"/>
    <w:rsid w:val="00C91576"/>
    <w:rsid w:val="00C9454A"/>
    <w:rsid w:val="00C967B1"/>
    <w:rsid w:val="00CA1F14"/>
    <w:rsid w:val="00CA36C1"/>
    <w:rsid w:val="00CA72B0"/>
    <w:rsid w:val="00CB24E4"/>
    <w:rsid w:val="00CC3FA4"/>
    <w:rsid w:val="00CD3F84"/>
    <w:rsid w:val="00CE2591"/>
    <w:rsid w:val="00CE2B84"/>
    <w:rsid w:val="00CF5EC4"/>
    <w:rsid w:val="00CF6E8D"/>
    <w:rsid w:val="00CF7641"/>
    <w:rsid w:val="00D00CC7"/>
    <w:rsid w:val="00D00F63"/>
    <w:rsid w:val="00D01FAD"/>
    <w:rsid w:val="00D032C7"/>
    <w:rsid w:val="00D122A6"/>
    <w:rsid w:val="00D16158"/>
    <w:rsid w:val="00D25174"/>
    <w:rsid w:val="00D316B5"/>
    <w:rsid w:val="00D317CF"/>
    <w:rsid w:val="00D33B4E"/>
    <w:rsid w:val="00D36E2E"/>
    <w:rsid w:val="00D416CD"/>
    <w:rsid w:val="00D41C90"/>
    <w:rsid w:val="00D469CA"/>
    <w:rsid w:val="00D4745F"/>
    <w:rsid w:val="00D5675F"/>
    <w:rsid w:val="00D702D8"/>
    <w:rsid w:val="00D70E28"/>
    <w:rsid w:val="00D75941"/>
    <w:rsid w:val="00D84B72"/>
    <w:rsid w:val="00D85775"/>
    <w:rsid w:val="00D86C83"/>
    <w:rsid w:val="00D9089B"/>
    <w:rsid w:val="00D95419"/>
    <w:rsid w:val="00D96495"/>
    <w:rsid w:val="00DA0D87"/>
    <w:rsid w:val="00DA22E7"/>
    <w:rsid w:val="00DA4E59"/>
    <w:rsid w:val="00DA6C39"/>
    <w:rsid w:val="00DA75C7"/>
    <w:rsid w:val="00DA79EE"/>
    <w:rsid w:val="00DB1816"/>
    <w:rsid w:val="00DB3C4B"/>
    <w:rsid w:val="00DB5083"/>
    <w:rsid w:val="00DB6A52"/>
    <w:rsid w:val="00DC0F99"/>
    <w:rsid w:val="00DC1133"/>
    <w:rsid w:val="00DC24E8"/>
    <w:rsid w:val="00DD0CDB"/>
    <w:rsid w:val="00DD54BB"/>
    <w:rsid w:val="00DE01A6"/>
    <w:rsid w:val="00DE4EE1"/>
    <w:rsid w:val="00DF3773"/>
    <w:rsid w:val="00E0122E"/>
    <w:rsid w:val="00E127DF"/>
    <w:rsid w:val="00E12AD0"/>
    <w:rsid w:val="00E1322F"/>
    <w:rsid w:val="00E14002"/>
    <w:rsid w:val="00E1500F"/>
    <w:rsid w:val="00E16CA7"/>
    <w:rsid w:val="00E17C7F"/>
    <w:rsid w:val="00E20AE6"/>
    <w:rsid w:val="00E21490"/>
    <w:rsid w:val="00E23E31"/>
    <w:rsid w:val="00E2685D"/>
    <w:rsid w:val="00E31488"/>
    <w:rsid w:val="00E32A28"/>
    <w:rsid w:val="00E37FC3"/>
    <w:rsid w:val="00E40399"/>
    <w:rsid w:val="00E4420C"/>
    <w:rsid w:val="00E56741"/>
    <w:rsid w:val="00E6105C"/>
    <w:rsid w:val="00E63397"/>
    <w:rsid w:val="00E65A8B"/>
    <w:rsid w:val="00E73241"/>
    <w:rsid w:val="00E779B9"/>
    <w:rsid w:val="00E80109"/>
    <w:rsid w:val="00E8243D"/>
    <w:rsid w:val="00E856FC"/>
    <w:rsid w:val="00E974C7"/>
    <w:rsid w:val="00EA538F"/>
    <w:rsid w:val="00EB3A9F"/>
    <w:rsid w:val="00EC5AD4"/>
    <w:rsid w:val="00EC74F4"/>
    <w:rsid w:val="00ED394A"/>
    <w:rsid w:val="00EE027A"/>
    <w:rsid w:val="00EE2BDC"/>
    <w:rsid w:val="00EE3425"/>
    <w:rsid w:val="00EE3F14"/>
    <w:rsid w:val="00EF25BE"/>
    <w:rsid w:val="00EF57A1"/>
    <w:rsid w:val="00EF70A1"/>
    <w:rsid w:val="00F024D3"/>
    <w:rsid w:val="00F05AC1"/>
    <w:rsid w:val="00F126C2"/>
    <w:rsid w:val="00F1471D"/>
    <w:rsid w:val="00F17D11"/>
    <w:rsid w:val="00F2038A"/>
    <w:rsid w:val="00F272D0"/>
    <w:rsid w:val="00F316B3"/>
    <w:rsid w:val="00F40EC8"/>
    <w:rsid w:val="00F45E99"/>
    <w:rsid w:val="00F507A4"/>
    <w:rsid w:val="00F53837"/>
    <w:rsid w:val="00F54599"/>
    <w:rsid w:val="00F5474E"/>
    <w:rsid w:val="00F55583"/>
    <w:rsid w:val="00F6273D"/>
    <w:rsid w:val="00F71FE3"/>
    <w:rsid w:val="00F76370"/>
    <w:rsid w:val="00F86383"/>
    <w:rsid w:val="00F91368"/>
    <w:rsid w:val="00F960A5"/>
    <w:rsid w:val="00FA0A99"/>
    <w:rsid w:val="00FA193B"/>
    <w:rsid w:val="00FA44BA"/>
    <w:rsid w:val="00FA596C"/>
    <w:rsid w:val="00FC59EC"/>
    <w:rsid w:val="00FC5DA5"/>
    <w:rsid w:val="00FC64F2"/>
    <w:rsid w:val="00FC73C1"/>
    <w:rsid w:val="00FD569D"/>
    <w:rsid w:val="00FE2986"/>
    <w:rsid w:val="00FF0E59"/>
    <w:rsid w:val="00FF2B9A"/>
    <w:rsid w:val="00FF5111"/>
    <w:rsid w:val="00FF573D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7662E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62E2"/>
    <w:pPr>
      <w:spacing w:after="0" w:line="240" w:lineRule="auto"/>
    </w:pPr>
    <w:rPr>
      <w:rFonts w:eastAsia="Times New Roman"/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62E2"/>
    <w:rPr>
      <w:rFonts w:eastAsia="Times New Roman"/>
      <w:sz w:val="20"/>
      <w:szCs w:val="20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4B461B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383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3837"/>
    <w:rPr>
      <w:rFonts w:ascii="Consolas" w:hAnsi="Consolas" w:cs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90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8C5"/>
  </w:style>
  <w:style w:type="paragraph" w:styleId="Footer">
    <w:name w:val="footer"/>
    <w:basedOn w:val="Normal"/>
    <w:link w:val="FooterChar"/>
    <w:uiPriority w:val="99"/>
    <w:unhideWhenUsed/>
    <w:rsid w:val="00690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8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7662E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62E2"/>
    <w:pPr>
      <w:spacing w:after="0" w:line="240" w:lineRule="auto"/>
    </w:pPr>
    <w:rPr>
      <w:rFonts w:eastAsia="Times New Roman"/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62E2"/>
    <w:rPr>
      <w:rFonts w:eastAsia="Times New Roman"/>
      <w:sz w:val="20"/>
      <w:szCs w:val="20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4B461B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383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3837"/>
    <w:rPr>
      <w:rFonts w:ascii="Consolas" w:hAnsi="Consolas" w:cs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90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8C5"/>
  </w:style>
  <w:style w:type="paragraph" w:styleId="Footer">
    <w:name w:val="footer"/>
    <w:basedOn w:val="Normal"/>
    <w:link w:val="FooterChar"/>
    <w:uiPriority w:val="99"/>
    <w:unhideWhenUsed/>
    <w:rsid w:val="00690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1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ccr.ro/comunicat-de-presa-28-aprilie-2022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cr.ro/comunicat-de-presa-28-aprilie-202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04E9E-16BC-4175-8A05-0E21EB4D2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8821</TotalTime>
  <Pages>15</Pages>
  <Words>3810</Words>
  <Characters>21721</Characters>
  <Application>Microsoft Office Word</Application>
  <DocSecurity>0</DocSecurity>
  <Lines>181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436</cp:revision>
  <cp:lastPrinted>2022-05-02T17:55:00Z</cp:lastPrinted>
  <dcterms:created xsi:type="dcterms:W3CDTF">2022-04-16T16:38:00Z</dcterms:created>
  <dcterms:modified xsi:type="dcterms:W3CDTF">2022-05-10T20:16:00Z</dcterms:modified>
</cp:coreProperties>
</file>