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9229" w14:textId="77777777" w:rsidR="00B447BA" w:rsidRDefault="004E01FB">
      <w:pPr>
        <w:pStyle w:val="Standard"/>
        <w:spacing w:line="360" w:lineRule="auto"/>
        <w:jc w:val="center"/>
        <w:rPr>
          <w:rFonts w:ascii="Calibri" w:hAnsi="Calibri" w:cs="Calibri"/>
          <w:b/>
          <w:bCs/>
          <w:lang w:val="ro-RO"/>
        </w:rPr>
      </w:pPr>
      <w:r>
        <w:rPr>
          <w:rFonts w:ascii="Calibri" w:hAnsi="Calibri" w:cs="Calibri"/>
          <w:b/>
          <w:bCs/>
          <w:lang w:val="ro-RO"/>
        </w:rPr>
        <w:t>Considerații relative la recentul Ghid privind utilizarea inteligenței artificiale (IA) în activitatea avocaților din anul 2022</w:t>
      </w:r>
    </w:p>
    <w:p w14:paraId="1BC1DC27" w14:textId="77777777" w:rsidR="00B447BA" w:rsidRDefault="00B447BA">
      <w:pPr>
        <w:pStyle w:val="Standard"/>
        <w:spacing w:line="360" w:lineRule="auto"/>
        <w:jc w:val="center"/>
        <w:rPr>
          <w:rFonts w:ascii="Calibri" w:hAnsi="Calibri" w:cs="Calibri"/>
          <w:b/>
          <w:bCs/>
          <w:lang w:val="ro-RO"/>
        </w:rPr>
      </w:pPr>
    </w:p>
    <w:p w14:paraId="772792EA" w14:textId="77777777" w:rsidR="00B447BA" w:rsidRDefault="00B447BA">
      <w:pPr>
        <w:pStyle w:val="Standard"/>
        <w:spacing w:line="360" w:lineRule="auto"/>
        <w:jc w:val="center"/>
        <w:rPr>
          <w:rFonts w:ascii="Calibri" w:hAnsi="Calibri" w:cs="Calibri"/>
          <w:b/>
          <w:bCs/>
          <w:lang w:val="ro-RO"/>
        </w:rPr>
      </w:pPr>
    </w:p>
    <w:p w14:paraId="443C178A" w14:textId="77777777" w:rsidR="00B447BA" w:rsidRDefault="004E01FB">
      <w:pPr>
        <w:pStyle w:val="Standard"/>
        <w:spacing w:line="360" w:lineRule="auto"/>
        <w:jc w:val="center"/>
        <w:rPr>
          <w:rFonts w:ascii="Calibri" w:hAnsi="Calibri" w:cs="Calibri"/>
          <w:i/>
          <w:iCs/>
          <w:lang w:val="ro-RO"/>
        </w:rPr>
      </w:pPr>
      <w:proofErr w:type="spellStart"/>
      <w:r>
        <w:rPr>
          <w:rFonts w:ascii="Calibri" w:hAnsi="Calibri" w:cs="Calibri"/>
          <w:i/>
          <w:iCs/>
          <w:lang w:val="ro-RO"/>
        </w:rPr>
        <w:t>Considerations</w:t>
      </w:r>
      <w:proofErr w:type="spellEnd"/>
      <w:r>
        <w:rPr>
          <w:rFonts w:ascii="Calibri" w:hAnsi="Calibri" w:cs="Calibri"/>
          <w:i/>
          <w:iCs/>
          <w:lang w:val="ro-RO"/>
        </w:rPr>
        <w:t xml:space="preserve"> for the recent </w:t>
      </w:r>
      <w:proofErr w:type="spellStart"/>
      <w:r>
        <w:rPr>
          <w:rFonts w:ascii="Calibri" w:hAnsi="Calibri" w:cs="Calibri"/>
          <w:i/>
          <w:iCs/>
          <w:lang w:val="ro-RO"/>
        </w:rPr>
        <w:t>Guide</w:t>
      </w:r>
      <w:proofErr w:type="spellEnd"/>
      <w:r>
        <w:rPr>
          <w:rFonts w:ascii="Calibri" w:hAnsi="Calibri" w:cs="Calibri"/>
          <w:i/>
          <w:iCs/>
          <w:lang w:val="ro-RO"/>
        </w:rPr>
        <w:t xml:space="preserve"> </w:t>
      </w:r>
      <w:proofErr w:type="spellStart"/>
      <w:r>
        <w:rPr>
          <w:rFonts w:ascii="Calibri" w:hAnsi="Calibri" w:cs="Calibri"/>
          <w:i/>
          <w:iCs/>
          <w:lang w:val="ro-RO"/>
        </w:rPr>
        <w:t>to</w:t>
      </w:r>
      <w:proofErr w:type="spellEnd"/>
      <w:r>
        <w:rPr>
          <w:rFonts w:ascii="Calibri" w:hAnsi="Calibri" w:cs="Calibri"/>
          <w:i/>
          <w:iCs/>
          <w:lang w:val="ro-RO"/>
        </w:rPr>
        <w:t xml:space="preserve"> the </w:t>
      </w:r>
      <w:proofErr w:type="spellStart"/>
      <w:r>
        <w:rPr>
          <w:rFonts w:ascii="Calibri" w:hAnsi="Calibri" w:cs="Calibri"/>
          <w:i/>
          <w:iCs/>
          <w:lang w:val="ro-RO"/>
        </w:rPr>
        <w:t>Use</w:t>
      </w:r>
      <w:proofErr w:type="spellEnd"/>
      <w:r>
        <w:rPr>
          <w:rFonts w:ascii="Calibri" w:hAnsi="Calibri" w:cs="Calibri"/>
          <w:i/>
          <w:iCs/>
          <w:lang w:val="ro-RO"/>
        </w:rPr>
        <w:t xml:space="preserve"> of Artificial Intelligence (AI) in the work of </w:t>
      </w:r>
      <w:proofErr w:type="spellStart"/>
      <w:r>
        <w:rPr>
          <w:rFonts w:ascii="Calibri" w:hAnsi="Calibri" w:cs="Calibri"/>
          <w:i/>
          <w:iCs/>
          <w:lang w:val="ro-RO"/>
        </w:rPr>
        <w:t>lawyers</w:t>
      </w:r>
      <w:proofErr w:type="spellEnd"/>
      <w:r>
        <w:rPr>
          <w:rFonts w:ascii="Calibri" w:hAnsi="Calibri" w:cs="Calibri"/>
          <w:i/>
          <w:iCs/>
          <w:lang w:val="ro-RO"/>
        </w:rPr>
        <w:t xml:space="preserve"> in </w:t>
      </w:r>
      <w:r>
        <w:rPr>
          <w:rFonts w:ascii="Calibri" w:hAnsi="Calibri" w:cs="Calibri"/>
          <w:i/>
          <w:iCs/>
          <w:lang w:val="ro-RO"/>
        </w:rPr>
        <w:t>2022</w:t>
      </w:r>
    </w:p>
    <w:p w14:paraId="505FDEC6" w14:textId="77777777" w:rsidR="00B447BA" w:rsidRDefault="004E01FB">
      <w:pPr>
        <w:pStyle w:val="Standard"/>
        <w:spacing w:line="360" w:lineRule="auto"/>
        <w:jc w:val="center"/>
        <w:rPr>
          <w:rFonts w:ascii="Calibri" w:hAnsi="Calibri" w:cs="Calibri"/>
          <w:i/>
          <w:iCs/>
          <w:lang w:val="ro-RO"/>
        </w:rPr>
      </w:pPr>
      <w:proofErr w:type="spellStart"/>
      <w:r>
        <w:rPr>
          <w:rFonts w:ascii="Calibri" w:hAnsi="Calibri" w:cs="Calibri"/>
          <w:i/>
          <w:iCs/>
          <w:lang w:val="ro-RO"/>
        </w:rPr>
        <w:t>Considérations</w:t>
      </w:r>
      <w:proofErr w:type="spellEnd"/>
      <w:r>
        <w:rPr>
          <w:rFonts w:ascii="Calibri" w:hAnsi="Calibri" w:cs="Calibri"/>
          <w:i/>
          <w:iCs/>
          <w:lang w:val="ro-RO"/>
        </w:rPr>
        <w:t xml:space="preserve"> </w:t>
      </w:r>
      <w:proofErr w:type="spellStart"/>
      <w:r>
        <w:rPr>
          <w:rFonts w:ascii="Calibri" w:hAnsi="Calibri" w:cs="Calibri"/>
          <w:i/>
          <w:iCs/>
          <w:lang w:val="ro-RO"/>
        </w:rPr>
        <w:t>pour</w:t>
      </w:r>
      <w:proofErr w:type="spellEnd"/>
      <w:r>
        <w:rPr>
          <w:rFonts w:ascii="Calibri" w:hAnsi="Calibri" w:cs="Calibri"/>
          <w:i/>
          <w:iCs/>
          <w:lang w:val="ro-RO"/>
        </w:rPr>
        <w:t xml:space="preserve"> le </w:t>
      </w:r>
      <w:proofErr w:type="spellStart"/>
      <w:r>
        <w:rPr>
          <w:rFonts w:ascii="Calibri" w:hAnsi="Calibri" w:cs="Calibri"/>
          <w:i/>
          <w:iCs/>
          <w:lang w:val="ro-RO"/>
        </w:rPr>
        <w:t>récent</w:t>
      </w:r>
      <w:proofErr w:type="spellEnd"/>
      <w:r>
        <w:rPr>
          <w:rFonts w:ascii="Calibri" w:hAnsi="Calibri" w:cs="Calibri"/>
          <w:i/>
          <w:iCs/>
          <w:lang w:val="ro-RO"/>
        </w:rPr>
        <w:t xml:space="preserve"> </w:t>
      </w:r>
      <w:proofErr w:type="spellStart"/>
      <w:r>
        <w:rPr>
          <w:rFonts w:ascii="Calibri" w:hAnsi="Calibri" w:cs="Calibri"/>
          <w:i/>
          <w:iCs/>
          <w:lang w:val="ro-RO"/>
        </w:rPr>
        <w:t>Guide</w:t>
      </w:r>
      <w:proofErr w:type="spellEnd"/>
      <w:r>
        <w:rPr>
          <w:rFonts w:ascii="Calibri" w:hAnsi="Calibri" w:cs="Calibri"/>
          <w:i/>
          <w:iCs/>
          <w:lang w:val="ro-RO"/>
        </w:rPr>
        <w:t xml:space="preserve"> </w:t>
      </w:r>
      <w:proofErr w:type="spellStart"/>
      <w:r>
        <w:rPr>
          <w:rFonts w:ascii="Calibri" w:hAnsi="Calibri" w:cs="Calibri"/>
          <w:i/>
          <w:iCs/>
          <w:lang w:val="ro-RO"/>
        </w:rPr>
        <w:t>d'utilisation</w:t>
      </w:r>
      <w:proofErr w:type="spellEnd"/>
      <w:r>
        <w:rPr>
          <w:rFonts w:ascii="Calibri" w:hAnsi="Calibri" w:cs="Calibri"/>
          <w:i/>
          <w:iCs/>
          <w:lang w:val="ro-RO"/>
        </w:rPr>
        <w:t xml:space="preserve"> de </w:t>
      </w:r>
      <w:proofErr w:type="spellStart"/>
      <w:r>
        <w:rPr>
          <w:rFonts w:ascii="Calibri" w:hAnsi="Calibri" w:cs="Calibri"/>
          <w:i/>
          <w:iCs/>
          <w:lang w:val="ro-RO"/>
        </w:rPr>
        <w:t>l'intelligence</w:t>
      </w:r>
      <w:proofErr w:type="spellEnd"/>
      <w:r>
        <w:rPr>
          <w:rFonts w:ascii="Calibri" w:hAnsi="Calibri" w:cs="Calibri"/>
          <w:i/>
          <w:iCs/>
          <w:lang w:val="ro-RO"/>
        </w:rPr>
        <w:t xml:space="preserve"> </w:t>
      </w:r>
      <w:proofErr w:type="spellStart"/>
      <w:r>
        <w:rPr>
          <w:rFonts w:ascii="Calibri" w:hAnsi="Calibri" w:cs="Calibri"/>
          <w:i/>
          <w:iCs/>
          <w:lang w:val="ro-RO"/>
        </w:rPr>
        <w:t>artificielle</w:t>
      </w:r>
      <w:proofErr w:type="spellEnd"/>
      <w:r>
        <w:rPr>
          <w:rFonts w:ascii="Calibri" w:hAnsi="Calibri" w:cs="Calibri"/>
          <w:i/>
          <w:iCs/>
          <w:lang w:val="ro-RO"/>
        </w:rPr>
        <w:t xml:space="preserve"> (IA) dans le </w:t>
      </w:r>
      <w:proofErr w:type="spellStart"/>
      <w:r>
        <w:rPr>
          <w:rFonts w:ascii="Calibri" w:hAnsi="Calibri" w:cs="Calibri"/>
          <w:i/>
          <w:iCs/>
          <w:lang w:val="ro-RO"/>
        </w:rPr>
        <w:t>travail</w:t>
      </w:r>
      <w:proofErr w:type="spellEnd"/>
      <w:r>
        <w:rPr>
          <w:rFonts w:ascii="Calibri" w:hAnsi="Calibri" w:cs="Calibri"/>
          <w:i/>
          <w:iCs/>
          <w:lang w:val="ro-RO"/>
        </w:rPr>
        <w:t xml:space="preserve"> des </w:t>
      </w:r>
      <w:proofErr w:type="spellStart"/>
      <w:r>
        <w:rPr>
          <w:rFonts w:ascii="Calibri" w:hAnsi="Calibri" w:cs="Calibri"/>
          <w:i/>
          <w:iCs/>
          <w:lang w:val="ro-RO"/>
        </w:rPr>
        <w:t>avocats</w:t>
      </w:r>
      <w:proofErr w:type="spellEnd"/>
      <w:r>
        <w:rPr>
          <w:rFonts w:ascii="Calibri" w:hAnsi="Calibri" w:cs="Calibri"/>
          <w:i/>
          <w:iCs/>
          <w:lang w:val="ro-RO"/>
        </w:rPr>
        <w:t xml:space="preserve"> en 2022</w:t>
      </w:r>
    </w:p>
    <w:p w14:paraId="08F24360" w14:textId="77777777" w:rsidR="00B447BA" w:rsidRDefault="00B447BA">
      <w:pPr>
        <w:pStyle w:val="Standard"/>
        <w:spacing w:line="360" w:lineRule="auto"/>
        <w:jc w:val="center"/>
        <w:rPr>
          <w:rFonts w:ascii="Calibri" w:hAnsi="Calibri" w:cs="Calibri"/>
          <w:lang w:val="ro-RO"/>
        </w:rPr>
      </w:pPr>
    </w:p>
    <w:p w14:paraId="510F6D80" w14:textId="77777777" w:rsidR="00B447BA" w:rsidRDefault="004E01FB">
      <w:pPr>
        <w:pStyle w:val="Standard"/>
        <w:spacing w:line="360" w:lineRule="auto"/>
        <w:jc w:val="right"/>
        <w:rPr>
          <w:rFonts w:ascii="Calibri" w:hAnsi="Calibri" w:cs="Calibri"/>
          <w:lang w:val="ro-RO"/>
        </w:rPr>
      </w:pPr>
      <w:r>
        <w:rPr>
          <w:rFonts w:ascii="Calibri" w:hAnsi="Calibri" w:cs="Calibri"/>
          <w:lang w:val="ro-RO"/>
        </w:rPr>
        <w:t>Avocat Adina Lupu</w:t>
      </w:r>
    </w:p>
    <w:p w14:paraId="57E8A71B" w14:textId="77777777" w:rsidR="00B447BA" w:rsidRDefault="004E01FB">
      <w:pPr>
        <w:pStyle w:val="Standard"/>
        <w:spacing w:line="360" w:lineRule="auto"/>
        <w:jc w:val="right"/>
        <w:rPr>
          <w:rFonts w:ascii="Calibri" w:hAnsi="Calibri" w:cs="Calibri"/>
          <w:lang w:val="ro-RO"/>
        </w:rPr>
      </w:pPr>
      <w:r>
        <w:rPr>
          <w:rFonts w:ascii="Calibri" w:hAnsi="Calibri" w:cs="Calibri"/>
          <w:lang w:val="ro-RO"/>
        </w:rPr>
        <w:t>Baroul București</w:t>
      </w:r>
    </w:p>
    <w:p w14:paraId="135FAE53" w14:textId="77777777" w:rsidR="00B447BA" w:rsidRDefault="00B447BA">
      <w:pPr>
        <w:pStyle w:val="Standard"/>
        <w:spacing w:line="360" w:lineRule="auto"/>
        <w:jc w:val="right"/>
        <w:rPr>
          <w:rFonts w:ascii="Calibri" w:hAnsi="Calibri" w:cs="Calibri"/>
          <w:lang w:val="ro-RO"/>
        </w:rPr>
      </w:pPr>
    </w:p>
    <w:p w14:paraId="58AF4EC3" w14:textId="77777777" w:rsidR="00B447BA" w:rsidRDefault="004E01FB">
      <w:pPr>
        <w:pStyle w:val="Standard"/>
        <w:spacing w:line="360" w:lineRule="auto"/>
        <w:jc w:val="both"/>
      </w:pPr>
      <w:r>
        <w:rPr>
          <w:rFonts w:ascii="Calibri" w:hAnsi="Calibri" w:cs="Calibri"/>
          <w:lang w:val="ro-RO"/>
        </w:rPr>
        <w:tab/>
        <w:t>La 31 martie 2022 a avut loc conferința Consiliului Barourilor și Societăților de Drept din</w:t>
      </w:r>
      <w:r>
        <w:rPr>
          <w:rFonts w:ascii="Calibri" w:hAnsi="Calibri" w:cs="Calibri"/>
          <w:lang w:val="ro-RO"/>
        </w:rPr>
        <w:t xml:space="preserve"> Europa (CCBE) și a Fundației Europene a Avocaților (ELF) de lansare oficială a Ghidului privind utilizarea inteligenței artificiale (AI) de către avocați și societățile de avocați (în continuare ”</w:t>
      </w:r>
      <w:r>
        <w:rPr>
          <w:rFonts w:ascii="Calibri" w:hAnsi="Calibri" w:cs="Calibri"/>
          <w:i/>
          <w:iCs/>
          <w:lang w:val="ro-RO"/>
        </w:rPr>
        <w:t>Ghidul</w:t>
      </w:r>
      <w:r>
        <w:rPr>
          <w:rFonts w:ascii="Calibri" w:hAnsi="Calibri" w:cs="Calibri"/>
          <w:lang w:val="ro-RO"/>
        </w:rPr>
        <w:t>”).</w:t>
      </w:r>
    </w:p>
    <w:p w14:paraId="586D79E9" w14:textId="77777777" w:rsidR="00B447BA" w:rsidRDefault="004E01FB">
      <w:pPr>
        <w:pStyle w:val="Standard"/>
        <w:spacing w:line="360" w:lineRule="auto"/>
        <w:jc w:val="both"/>
      </w:pPr>
      <w:r>
        <w:rPr>
          <w:rFonts w:ascii="Calibri" w:hAnsi="Calibri" w:cs="Calibri"/>
          <w:lang w:val="ro-RO"/>
        </w:rPr>
        <w:tab/>
        <w:t xml:space="preserve">Redactarea Ghidului a făcut parte din proiectul </w:t>
      </w:r>
      <w:r>
        <w:rPr>
          <w:rFonts w:ascii="Calibri" w:hAnsi="Calibri" w:cs="Calibri"/>
          <w:lang w:val="ro-RO"/>
        </w:rPr>
        <w:t xml:space="preserve">AI4Lawyers, </w:t>
      </w:r>
      <w:r>
        <w:rPr>
          <w:rFonts w:ascii="Calibri" w:hAnsi="Calibri" w:cs="Calibri"/>
          <w:lang w:val="en-US"/>
        </w:rPr>
        <w:t xml:space="preserve">la care au </w:t>
      </w:r>
      <w:proofErr w:type="spellStart"/>
      <w:r>
        <w:rPr>
          <w:rFonts w:ascii="Calibri" w:hAnsi="Calibri" w:cs="Calibri"/>
          <w:lang w:val="en-US"/>
        </w:rPr>
        <w:t>participat</w:t>
      </w:r>
      <w:proofErr w:type="spellEnd"/>
      <w:r>
        <w:rPr>
          <w:rFonts w:ascii="Calibri" w:hAnsi="Calibri" w:cs="Calibri"/>
          <w:lang w:val="en-US"/>
        </w:rPr>
        <w:t xml:space="preserve"> </w:t>
      </w:r>
      <w:proofErr w:type="spellStart"/>
      <w:r>
        <w:rPr>
          <w:rFonts w:ascii="Calibri" w:hAnsi="Calibri" w:cs="Calibri"/>
          <w:lang w:val="en-US"/>
        </w:rPr>
        <w:t>Consiliul</w:t>
      </w:r>
      <w:proofErr w:type="spellEnd"/>
      <w:r>
        <w:rPr>
          <w:rFonts w:ascii="Calibri" w:hAnsi="Calibri" w:cs="Calibri"/>
          <w:lang w:val="en-US"/>
        </w:rPr>
        <w:t xml:space="preserve"> Barourilor </w:t>
      </w:r>
      <w:r>
        <w:rPr>
          <w:rFonts w:ascii="Calibri" w:hAnsi="Calibri" w:cs="Calibri"/>
          <w:lang w:val="ro-RO"/>
        </w:rPr>
        <w:t>ș</w:t>
      </w:r>
      <w:r>
        <w:rPr>
          <w:rFonts w:ascii="Calibri" w:hAnsi="Calibri" w:cs="Calibri"/>
          <w:lang w:val="ro-RO"/>
        </w:rPr>
        <w:t>i Societățile de Avocați din Europa (CCBE) și Fundația Avocaților Europeni (ELF), în cadrul Planului European e-</w:t>
      </w:r>
      <w:proofErr w:type="spellStart"/>
      <w:r>
        <w:rPr>
          <w:rFonts w:ascii="Calibri" w:hAnsi="Calibri" w:cs="Calibri"/>
          <w:lang w:val="ro-RO"/>
        </w:rPr>
        <w:t>Justice</w:t>
      </w:r>
      <w:proofErr w:type="spellEnd"/>
      <w:r>
        <w:rPr>
          <w:rFonts w:ascii="Calibri" w:hAnsi="Calibri" w:cs="Calibri"/>
          <w:lang w:val="ro-RO"/>
        </w:rPr>
        <w:t xml:space="preserve"> 2019-2023.</w:t>
      </w:r>
    </w:p>
    <w:p w14:paraId="7AEACF22" w14:textId="77777777" w:rsidR="00B447BA" w:rsidRDefault="004E01FB">
      <w:pPr>
        <w:pStyle w:val="Standard"/>
        <w:spacing w:line="360" w:lineRule="auto"/>
        <w:jc w:val="both"/>
      </w:pPr>
      <w:r>
        <w:rPr>
          <w:rFonts w:ascii="Calibri" w:hAnsi="Calibri" w:cs="Calibri"/>
          <w:lang w:val="ro-RO"/>
        </w:rPr>
        <w:tab/>
        <w:t>Proiectul a început la 1 aprilie 2020 și a fost finalizat cu lansare</w:t>
      </w:r>
      <w:r>
        <w:rPr>
          <w:rFonts w:ascii="Calibri" w:hAnsi="Calibri" w:cs="Calibri"/>
          <w:lang w:val="ro-RO"/>
        </w:rPr>
        <w:t>a Ghidului privind utilizarea inteligenței artificiale (IA) de către avocați în Europa. Odată cu Ghidul au mai fost redactate două rapoarte separate. Primul raport</w:t>
      </w:r>
      <w:r>
        <w:rPr>
          <w:rStyle w:val="FootnoteReference"/>
          <w:rFonts w:ascii="Calibri" w:hAnsi="Calibri" w:cs="Calibri"/>
          <w:lang w:val="ro-RO"/>
        </w:rPr>
        <w:footnoteReference w:id="1"/>
      </w:r>
      <w:r>
        <w:rPr>
          <w:rFonts w:ascii="Calibri" w:hAnsi="Calibri" w:cs="Calibri"/>
          <w:lang w:val="ro-RO"/>
        </w:rPr>
        <w:t xml:space="preserve"> a identificat noile soluții tehnologice adaptate domeniului juridic și comparația bunele practici rezultate din utilizarea acestora în Rega</w:t>
      </w:r>
      <w:r>
        <w:rPr>
          <w:rFonts w:ascii="Calibri" w:hAnsi="Calibri" w:cs="Calibri"/>
          <w:lang w:val="ro-RO"/>
        </w:rPr>
        <w:t>tul Unit, Statele Unite ale Americii și Canada. Al doilea raport</w:t>
      </w:r>
      <w:r>
        <w:rPr>
          <w:rStyle w:val="FootnoteReference"/>
          <w:rFonts w:ascii="Calibri" w:hAnsi="Calibri" w:cs="Calibri"/>
          <w:lang w:val="ro-RO"/>
        </w:rPr>
        <w:footnoteReference w:id="2"/>
      </w:r>
      <w:r>
        <w:rPr>
          <w:rFonts w:ascii="Calibri" w:hAnsi="Calibri" w:cs="Calibri"/>
          <w:lang w:val="ro-RO"/>
        </w:rPr>
        <w:t xml:space="preserve"> a oferit o analiză tehnică a oportunităților și a limitelor rezultate din utilizarea aplicațiilor utilizând inteligență artificială în activitatea societăților mici de avocați (între 1 și 9 avocați, incluzând cabinetele individua</w:t>
      </w:r>
      <w:r>
        <w:rPr>
          <w:rFonts w:ascii="Calibri" w:hAnsi="Calibri" w:cs="Calibri"/>
          <w:lang w:val="ro-RO"/>
        </w:rPr>
        <w:t>le de avocați).</w:t>
      </w:r>
    </w:p>
    <w:p w14:paraId="1D195659" w14:textId="77777777" w:rsidR="00B447BA" w:rsidRDefault="00B447BA">
      <w:pPr>
        <w:pStyle w:val="Standard"/>
        <w:spacing w:line="360" w:lineRule="auto"/>
        <w:jc w:val="both"/>
        <w:rPr>
          <w:rFonts w:ascii="Calibri" w:hAnsi="Calibri" w:cs="Calibri"/>
          <w:lang w:val="ro-RO"/>
        </w:rPr>
      </w:pPr>
    </w:p>
    <w:p w14:paraId="701245B5" w14:textId="77777777" w:rsidR="00B447BA" w:rsidRDefault="00B447BA">
      <w:pPr>
        <w:pStyle w:val="Standard"/>
        <w:spacing w:line="360" w:lineRule="auto"/>
        <w:jc w:val="both"/>
        <w:rPr>
          <w:rFonts w:ascii="Calibri" w:hAnsi="Calibri" w:cs="Calibri"/>
          <w:lang w:val="ro-RO"/>
        </w:rPr>
      </w:pPr>
    </w:p>
    <w:p w14:paraId="0809257F" w14:textId="77777777" w:rsidR="00B447BA" w:rsidRDefault="004E01FB">
      <w:pPr>
        <w:pStyle w:val="Standard"/>
        <w:spacing w:line="360" w:lineRule="auto"/>
        <w:jc w:val="both"/>
      </w:pPr>
      <w:r>
        <w:rPr>
          <w:rFonts w:ascii="Calibri" w:hAnsi="Calibri" w:cs="Calibri"/>
          <w:lang w:val="ro-RO"/>
        </w:rPr>
        <w:lastRenderedPageBreak/>
        <w:tab/>
        <w:t>Scopul Ghidului este mai mult didactic, de a conține informații practice despre cum avocații și societățile mici de avocați/cabinetele individuale de avocați pot integra aplicațiile ce utilizează IA în munca lor de zi cu zi, fără a încăl</w:t>
      </w:r>
      <w:r>
        <w:rPr>
          <w:rFonts w:ascii="Calibri" w:hAnsi="Calibri" w:cs="Calibri"/>
          <w:lang w:val="ro-RO"/>
        </w:rPr>
        <w:t>ca obligațiile profesionale</w:t>
      </w:r>
      <w:r>
        <w:rPr>
          <w:rStyle w:val="FootnoteReference"/>
          <w:rFonts w:ascii="Calibri" w:hAnsi="Calibri" w:cs="Calibri"/>
          <w:lang w:val="ro-RO"/>
        </w:rPr>
        <w:footnoteReference w:id="3"/>
      </w:r>
      <w:r>
        <w:rPr>
          <w:rFonts w:ascii="Calibri" w:hAnsi="Calibri" w:cs="Calibri"/>
          <w:lang w:val="ro-RO"/>
        </w:rPr>
        <w:t>.</w:t>
      </w:r>
    </w:p>
    <w:p w14:paraId="61F02C9C" w14:textId="77777777" w:rsidR="00B447BA" w:rsidRDefault="004E01FB">
      <w:pPr>
        <w:pStyle w:val="Standard"/>
        <w:spacing w:line="360" w:lineRule="auto"/>
        <w:jc w:val="both"/>
      </w:pPr>
      <w:r>
        <w:rPr>
          <w:rFonts w:ascii="Calibri" w:hAnsi="Calibri" w:cs="Calibri"/>
          <w:lang w:val="ro-RO"/>
        </w:rPr>
        <w:tab/>
        <w:t>De asemenea, Ghidul realizează și o analiză a situației profesionale și financiare a societăților mici de avocați/cabinetelor individuale pe ba</w:t>
      </w:r>
      <w:r>
        <w:rPr>
          <w:rFonts w:ascii="Calibri" w:hAnsi="Calibri" w:cs="Calibri"/>
          <w:lang w:val="ro-RO"/>
        </w:rPr>
        <w:t>za căreia apreciază succesul sau nu al utilizării aplicaților IA și în final concluzionează despre modul în care acestea vor transforma profesia de avocat. Astfel, transformările profesiei de avocat se vor reflecta prin saltul tehnologic pe care îl vor rea</w:t>
      </w:r>
      <w:r>
        <w:rPr>
          <w:rFonts w:ascii="Calibri" w:hAnsi="Calibri" w:cs="Calibri"/>
          <w:lang w:val="ro-RO"/>
        </w:rPr>
        <w:t>liza societățile mici de avocați/cabinetele individuale deoarece în Europa acestea au cea mai mare pondere</w:t>
      </w:r>
      <w:r>
        <w:rPr>
          <w:rStyle w:val="FootnoteReference"/>
          <w:rFonts w:ascii="Calibri" w:hAnsi="Calibri" w:cs="Calibri"/>
          <w:lang w:val="ro-RO"/>
        </w:rPr>
        <w:footnoteReference w:id="4"/>
      </w:r>
      <w:r>
        <w:rPr>
          <w:rFonts w:ascii="Calibri" w:hAnsi="Calibri" w:cs="Calibri"/>
          <w:lang w:val="ro-RO"/>
        </w:rPr>
        <w:t>, o persoană din 3 fiind angajată într-o societate cu mai puțin de 10 angajați (avocați și personal auxiliar).</w:t>
      </w:r>
    </w:p>
    <w:p w14:paraId="55EC54B5" w14:textId="77777777" w:rsidR="00B447BA" w:rsidRDefault="004E01FB">
      <w:pPr>
        <w:pStyle w:val="Standard"/>
        <w:spacing w:line="360" w:lineRule="auto"/>
        <w:jc w:val="both"/>
      </w:pPr>
      <w:r>
        <w:rPr>
          <w:rFonts w:ascii="Calibri" w:hAnsi="Calibri" w:cs="Calibri"/>
          <w:lang w:val="ro-RO"/>
        </w:rPr>
        <w:tab/>
        <w:t>CCBE</w:t>
      </w:r>
      <w:r>
        <w:rPr>
          <w:rStyle w:val="FootnoteReference"/>
          <w:rFonts w:ascii="Calibri" w:hAnsi="Calibri" w:cs="Calibri"/>
          <w:lang w:val="ro-RO"/>
        </w:rPr>
        <w:footnoteReference w:id="5"/>
      </w:r>
      <w:r>
        <w:rPr>
          <w:rFonts w:ascii="Calibri" w:hAnsi="Calibri" w:cs="Calibri"/>
          <w:lang w:val="ro-RO"/>
        </w:rPr>
        <w:t xml:space="preserve"> a considerat că este necesar un Ghid care să fie dedicat în special activității societăților mici de avocați/cabinetelor individuale deoarece instrumentele de IA pot să aducă un plus de valoare activit</w:t>
      </w:r>
      <w:r>
        <w:rPr>
          <w:rFonts w:ascii="Calibri" w:hAnsi="Calibri" w:cs="Calibri"/>
          <w:lang w:val="ro-RO"/>
        </w:rPr>
        <w:t xml:space="preserve">ății avocaților, să crească volumul de informații procesate de avocat și în final să livreze un produs superior calitativ clienților, având și o perspectivă umană de înțelegere a contextului expus de client.  </w:t>
      </w:r>
    </w:p>
    <w:p w14:paraId="667A7D24" w14:textId="77777777" w:rsidR="00B447BA" w:rsidRDefault="004E01FB">
      <w:pPr>
        <w:pStyle w:val="Standard"/>
        <w:spacing w:line="360" w:lineRule="auto"/>
        <w:jc w:val="both"/>
      </w:pPr>
      <w:r>
        <w:rPr>
          <w:rFonts w:ascii="Calibri" w:hAnsi="Calibri" w:cs="Calibri"/>
          <w:lang w:val="ro-RO"/>
        </w:rPr>
        <w:tab/>
        <w:t>CCBE a recunoscut rolul foarte important pe c</w:t>
      </w:r>
      <w:r>
        <w:rPr>
          <w:rFonts w:ascii="Calibri" w:hAnsi="Calibri" w:cs="Calibri"/>
          <w:lang w:val="ro-RO"/>
        </w:rPr>
        <w:t>are îl au societățile mici de avocați/cabinetele individuale în susținerea statului de drept</w:t>
      </w:r>
      <w:r>
        <w:rPr>
          <w:rStyle w:val="FootnoteReference"/>
          <w:rFonts w:ascii="Calibri" w:hAnsi="Calibri" w:cs="Calibri"/>
          <w:lang w:val="ro-RO"/>
        </w:rPr>
        <w:footnoteReference w:id="6"/>
      </w:r>
      <w:r>
        <w:rPr>
          <w:rFonts w:ascii="Calibri" w:hAnsi="Calibri" w:cs="Calibri"/>
          <w:lang w:val="ro-RO"/>
        </w:rPr>
        <w:t xml:space="preserve">, ce a reieșit din statisticile realizate în cadrul proiectului AI4Lawyers și exprimat sugestiv în Ghid prin citatul lui Frank </w:t>
      </w:r>
      <w:proofErr w:type="spellStart"/>
      <w:r>
        <w:rPr>
          <w:rFonts w:ascii="Calibri" w:hAnsi="Calibri" w:cs="Calibri"/>
          <w:lang w:val="ro-RO"/>
        </w:rPr>
        <w:t>Pasquale</w:t>
      </w:r>
      <w:proofErr w:type="spellEnd"/>
      <w:r>
        <w:rPr>
          <w:rFonts w:ascii="Calibri" w:hAnsi="Calibri" w:cs="Calibri"/>
          <w:lang w:val="ro-RO"/>
        </w:rPr>
        <w:t xml:space="preserve"> în cartea sa</w:t>
      </w:r>
      <w:r>
        <w:rPr>
          <w:rFonts w:ascii="Calibri" w:hAnsi="Calibri" w:cs="Calibri"/>
          <w:lang w:val="ro-RO"/>
        </w:rPr>
        <w:t xml:space="preserve"> ”</w:t>
      </w:r>
      <w:r>
        <w:rPr>
          <w:rFonts w:ascii="Calibri" w:hAnsi="Calibri" w:cs="Calibri"/>
          <w:i/>
          <w:iCs/>
          <w:lang w:val="ro-RO"/>
        </w:rPr>
        <w:t xml:space="preserve">New </w:t>
      </w:r>
      <w:proofErr w:type="spellStart"/>
      <w:r>
        <w:rPr>
          <w:rFonts w:ascii="Calibri" w:hAnsi="Calibri" w:cs="Calibri"/>
          <w:i/>
          <w:iCs/>
          <w:lang w:val="ro-RO"/>
        </w:rPr>
        <w:t>Laws</w:t>
      </w:r>
      <w:proofErr w:type="spellEnd"/>
      <w:r>
        <w:rPr>
          <w:rFonts w:ascii="Calibri" w:hAnsi="Calibri" w:cs="Calibri"/>
          <w:i/>
          <w:iCs/>
          <w:lang w:val="ro-RO"/>
        </w:rPr>
        <w:t xml:space="preserve"> of </w:t>
      </w:r>
      <w:proofErr w:type="spellStart"/>
      <w:r>
        <w:rPr>
          <w:rFonts w:ascii="Calibri" w:hAnsi="Calibri" w:cs="Calibri"/>
          <w:i/>
          <w:iCs/>
          <w:lang w:val="ro-RO"/>
        </w:rPr>
        <w:t>Robotics</w:t>
      </w:r>
      <w:proofErr w:type="spellEnd"/>
      <w:r>
        <w:rPr>
          <w:rFonts w:ascii="Calibri" w:hAnsi="Calibri" w:cs="Calibri"/>
          <w:i/>
          <w:iCs/>
          <w:lang w:val="ro-RO"/>
        </w:rPr>
        <w:t xml:space="preserve">: </w:t>
      </w:r>
      <w:proofErr w:type="spellStart"/>
      <w:r>
        <w:rPr>
          <w:rFonts w:ascii="Calibri" w:hAnsi="Calibri" w:cs="Calibri"/>
          <w:i/>
          <w:iCs/>
          <w:lang w:val="ro-RO"/>
        </w:rPr>
        <w:t>Defending</w:t>
      </w:r>
      <w:proofErr w:type="spellEnd"/>
      <w:r>
        <w:rPr>
          <w:rFonts w:ascii="Calibri" w:hAnsi="Calibri" w:cs="Calibri"/>
          <w:i/>
          <w:iCs/>
          <w:lang w:val="ro-RO"/>
        </w:rPr>
        <w:t xml:space="preserve"> </w:t>
      </w:r>
      <w:proofErr w:type="spellStart"/>
      <w:r>
        <w:rPr>
          <w:rFonts w:ascii="Calibri" w:hAnsi="Calibri" w:cs="Calibri"/>
          <w:i/>
          <w:iCs/>
          <w:lang w:val="ro-RO"/>
        </w:rPr>
        <w:t>Human</w:t>
      </w:r>
      <w:proofErr w:type="spellEnd"/>
      <w:r>
        <w:rPr>
          <w:rFonts w:ascii="Calibri" w:hAnsi="Calibri" w:cs="Calibri"/>
          <w:i/>
          <w:iCs/>
          <w:lang w:val="ro-RO"/>
        </w:rPr>
        <w:t xml:space="preserve"> </w:t>
      </w:r>
      <w:proofErr w:type="spellStart"/>
      <w:r>
        <w:rPr>
          <w:rFonts w:ascii="Calibri" w:hAnsi="Calibri" w:cs="Calibri"/>
          <w:i/>
          <w:iCs/>
          <w:lang w:val="ro-RO"/>
        </w:rPr>
        <w:t>Expertise</w:t>
      </w:r>
      <w:proofErr w:type="spellEnd"/>
      <w:r>
        <w:rPr>
          <w:rFonts w:ascii="Calibri" w:hAnsi="Calibri" w:cs="Calibri"/>
          <w:i/>
          <w:iCs/>
          <w:lang w:val="ro-RO"/>
        </w:rPr>
        <w:t xml:space="preserve"> in the </w:t>
      </w:r>
      <w:proofErr w:type="spellStart"/>
      <w:r>
        <w:rPr>
          <w:rFonts w:ascii="Calibri" w:hAnsi="Calibri" w:cs="Calibri"/>
          <w:i/>
          <w:iCs/>
          <w:lang w:val="ro-RO"/>
        </w:rPr>
        <w:t>Age</w:t>
      </w:r>
      <w:proofErr w:type="spellEnd"/>
      <w:r>
        <w:rPr>
          <w:rFonts w:ascii="Calibri" w:hAnsi="Calibri" w:cs="Calibri"/>
          <w:i/>
          <w:iCs/>
          <w:lang w:val="ro-RO"/>
        </w:rPr>
        <w:t xml:space="preserve"> of AI</w:t>
      </w:r>
      <w:r>
        <w:rPr>
          <w:rFonts w:ascii="Calibri" w:hAnsi="Calibri" w:cs="Calibri"/>
          <w:lang w:val="ro-RO"/>
        </w:rPr>
        <w:t>”: ”</w:t>
      </w:r>
      <w:proofErr w:type="spellStart"/>
      <w:r>
        <w:rPr>
          <w:rFonts w:ascii="Calibri" w:hAnsi="Calibri" w:cs="Calibri"/>
          <w:i/>
          <w:iCs/>
          <w:lang w:val="ro-RO"/>
        </w:rPr>
        <w:t>one</w:t>
      </w:r>
      <w:proofErr w:type="spellEnd"/>
      <w:r>
        <w:rPr>
          <w:rFonts w:ascii="Calibri" w:hAnsi="Calibri" w:cs="Calibri"/>
          <w:i/>
          <w:iCs/>
          <w:lang w:val="ro-RO"/>
        </w:rPr>
        <w:t xml:space="preserve"> </w:t>
      </w:r>
      <w:proofErr w:type="spellStart"/>
      <w:r>
        <w:rPr>
          <w:rFonts w:ascii="Calibri" w:hAnsi="Calibri" w:cs="Calibri"/>
          <w:i/>
          <w:iCs/>
          <w:lang w:val="ro-RO"/>
        </w:rPr>
        <w:t>way</w:t>
      </w:r>
      <w:proofErr w:type="spellEnd"/>
      <w:r>
        <w:rPr>
          <w:rFonts w:ascii="Calibri" w:hAnsi="Calibri" w:cs="Calibri"/>
          <w:i/>
          <w:iCs/>
          <w:lang w:val="ro-RO"/>
        </w:rPr>
        <w:t xml:space="preserve"> </w:t>
      </w:r>
      <w:proofErr w:type="spellStart"/>
      <w:r>
        <w:rPr>
          <w:rFonts w:ascii="Calibri" w:hAnsi="Calibri" w:cs="Calibri"/>
          <w:i/>
          <w:iCs/>
          <w:lang w:val="ro-RO"/>
        </w:rPr>
        <w:t>to</w:t>
      </w:r>
      <w:proofErr w:type="spellEnd"/>
      <w:r>
        <w:rPr>
          <w:rFonts w:ascii="Calibri" w:hAnsi="Calibri" w:cs="Calibri"/>
          <w:i/>
          <w:iCs/>
          <w:lang w:val="ro-RO"/>
        </w:rPr>
        <w:t xml:space="preserve"> </w:t>
      </w:r>
      <w:proofErr w:type="spellStart"/>
      <w:r>
        <w:rPr>
          <w:rFonts w:ascii="Calibri" w:hAnsi="Calibri" w:cs="Calibri"/>
          <w:i/>
          <w:iCs/>
          <w:lang w:val="ro-RO"/>
        </w:rPr>
        <w:t>alliviate</w:t>
      </w:r>
      <w:proofErr w:type="spellEnd"/>
      <w:r>
        <w:rPr>
          <w:rFonts w:ascii="Calibri" w:hAnsi="Calibri" w:cs="Calibri"/>
          <w:i/>
          <w:iCs/>
          <w:lang w:val="ro-RO"/>
        </w:rPr>
        <w:t xml:space="preserve"> the democratic </w:t>
      </w:r>
      <w:proofErr w:type="spellStart"/>
      <w:r>
        <w:rPr>
          <w:rFonts w:ascii="Calibri" w:hAnsi="Calibri" w:cs="Calibri"/>
          <w:i/>
          <w:iCs/>
          <w:lang w:val="ro-RO"/>
        </w:rPr>
        <w:t>crisis</w:t>
      </w:r>
      <w:proofErr w:type="spellEnd"/>
      <w:r>
        <w:rPr>
          <w:rFonts w:ascii="Calibri" w:hAnsi="Calibri" w:cs="Calibri"/>
          <w:i/>
          <w:iCs/>
          <w:lang w:val="ro-RO"/>
        </w:rPr>
        <w:t xml:space="preserve"> of </w:t>
      </w:r>
      <w:proofErr w:type="spellStart"/>
      <w:r>
        <w:rPr>
          <w:rFonts w:ascii="Calibri" w:hAnsi="Calibri" w:cs="Calibri"/>
          <w:i/>
          <w:iCs/>
          <w:lang w:val="ro-RO"/>
        </w:rPr>
        <w:t>expertise</w:t>
      </w:r>
      <w:proofErr w:type="spellEnd"/>
      <w:r>
        <w:rPr>
          <w:rFonts w:ascii="Calibri" w:hAnsi="Calibri" w:cs="Calibri"/>
          <w:i/>
          <w:iCs/>
          <w:lang w:val="ro-RO"/>
        </w:rPr>
        <w:t xml:space="preserve"> – the </w:t>
      </w:r>
      <w:proofErr w:type="spellStart"/>
      <w:r>
        <w:rPr>
          <w:rFonts w:ascii="Calibri" w:hAnsi="Calibri" w:cs="Calibri"/>
          <w:i/>
          <w:iCs/>
          <w:lang w:val="ro-RO"/>
        </w:rPr>
        <w:t>tension</w:t>
      </w:r>
      <w:proofErr w:type="spellEnd"/>
      <w:r>
        <w:rPr>
          <w:rFonts w:ascii="Calibri" w:hAnsi="Calibri" w:cs="Calibri"/>
          <w:i/>
          <w:iCs/>
          <w:lang w:val="ro-RO"/>
        </w:rPr>
        <w:t xml:space="preserve"> </w:t>
      </w:r>
      <w:proofErr w:type="spellStart"/>
      <w:r>
        <w:rPr>
          <w:rFonts w:ascii="Calibri" w:hAnsi="Calibri" w:cs="Calibri"/>
          <w:i/>
          <w:iCs/>
          <w:lang w:val="ro-RO"/>
        </w:rPr>
        <w:t>between</w:t>
      </w:r>
      <w:proofErr w:type="spellEnd"/>
      <w:r>
        <w:rPr>
          <w:rFonts w:ascii="Calibri" w:hAnsi="Calibri" w:cs="Calibri"/>
          <w:i/>
          <w:iCs/>
          <w:lang w:val="ro-RO"/>
        </w:rPr>
        <w:t xml:space="preserve"> </w:t>
      </w:r>
      <w:proofErr w:type="spellStart"/>
      <w:r>
        <w:rPr>
          <w:rFonts w:ascii="Calibri" w:hAnsi="Calibri" w:cs="Calibri"/>
          <w:i/>
          <w:iCs/>
          <w:lang w:val="ro-RO"/>
        </w:rPr>
        <w:t>aloof</w:t>
      </w:r>
      <w:proofErr w:type="spellEnd"/>
      <w:r>
        <w:rPr>
          <w:rFonts w:ascii="Calibri" w:hAnsi="Calibri" w:cs="Calibri"/>
          <w:i/>
          <w:iCs/>
          <w:lang w:val="ro-RO"/>
        </w:rPr>
        <w:t xml:space="preserve"> </w:t>
      </w:r>
      <w:proofErr w:type="spellStart"/>
      <w:r>
        <w:rPr>
          <w:rFonts w:ascii="Calibri" w:hAnsi="Calibri" w:cs="Calibri"/>
          <w:i/>
          <w:iCs/>
          <w:lang w:val="ro-RO"/>
        </w:rPr>
        <w:t>technocrats</w:t>
      </w:r>
      <w:proofErr w:type="spellEnd"/>
      <w:r>
        <w:rPr>
          <w:rFonts w:ascii="Calibri" w:hAnsi="Calibri" w:cs="Calibri"/>
          <w:i/>
          <w:iCs/>
          <w:lang w:val="ro-RO"/>
        </w:rPr>
        <w:t xml:space="preserve"> </w:t>
      </w:r>
      <w:proofErr w:type="spellStart"/>
      <w:r>
        <w:rPr>
          <w:rFonts w:ascii="Calibri" w:hAnsi="Calibri" w:cs="Calibri"/>
          <w:i/>
          <w:iCs/>
          <w:lang w:val="ro-RO"/>
        </w:rPr>
        <w:t>and</w:t>
      </w:r>
      <w:proofErr w:type="spellEnd"/>
      <w:r>
        <w:rPr>
          <w:rFonts w:ascii="Calibri" w:hAnsi="Calibri" w:cs="Calibri"/>
          <w:i/>
          <w:iCs/>
          <w:lang w:val="ro-RO"/>
        </w:rPr>
        <w:t xml:space="preserve"> </w:t>
      </w:r>
      <w:proofErr w:type="spellStart"/>
      <w:r>
        <w:rPr>
          <w:rFonts w:ascii="Calibri" w:hAnsi="Calibri" w:cs="Calibri"/>
          <w:i/>
          <w:iCs/>
          <w:lang w:val="ro-RO"/>
        </w:rPr>
        <w:t>passionate</w:t>
      </w:r>
      <w:proofErr w:type="spellEnd"/>
      <w:r>
        <w:rPr>
          <w:rFonts w:ascii="Calibri" w:hAnsi="Calibri" w:cs="Calibri"/>
          <w:i/>
          <w:iCs/>
          <w:lang w:val="ro-RO"/>
        </w:rPr>
        <w:t xml:space="preserve"> </w:t>
      </w:r>
      <w:proofErr w:type="spellStart"/>
      <w:r>
        <w:rPr>
          <w:rFonts w:ascii="Calibri" w:hAnsi="Calibri" w:cs="Calibri"/>
          <w:i/>
          <w:iCs/>
          <w:lang w:val="ro-RO"/>
        </w:rPr>
        <w:t>populists</w:t>
      </w:r>
      <w:proofErr w:type="spellEnd"/>
      <w:r>
        <w:rPr>
          <w:rFonts w:ascii="Calibri" w:hAnsi="Calibri" w:cs="Calibri"/>
          <w:i/>
          <w:iCs/>
          <w:lang w:val="ro-RO"/>
        </w:rPr>
        <w:t xml:space="preserve"> – </w:t>
      </w:r>
      <w:proofErr w:type="spellStart"/>
      <w:r>
        <w:rPr>
          <w:rFonts w:ascii="Calibri" w:hAnsi="Calibri" w:cs="Calibri"/>
          <w:i/>
          <w:iCs/>
          <w:lang w:val="ro-RO"/>
        </w:rPr>
        <w:t>is</w:t>
      </w:r>
      <w:proofErr w:type="spellEnd"/>
      <w:r>
        <w:rPr>
          <w:rFonts w:ascii="Calibri" w:hAnsi="Calibri" w:cs="Calibri"/>
          <w:i/>
          <w:iCs/>
          <w:lang w:val="ro-RO"/>
        </w:rPr>
        <w:t xml:space="preserve"> </w:t>
      </w:r>
      <w:proofErr w:type="spellStart"/>
      <w:r>
        <w:rPr>
          <w:rFonts w:ascii="Calibri" w:hAnsi="Calibri" w:cs="Calibri"/>
          <w:i/>
          <w:iCs/>
          <w:lang w:val="ro-RO"/>
        </w:rPr>
        <w:t>to</w:t>
      </w:r>
      <w:proofErr w:type="spellEnd"/>
      <w:r>
        <w:rPr>
          <w:rFonts w:ascii="Calibri" w:hAnsi="Calibri" w:cs="Calibri"/>
          <w:i/>
          <w:iCs/>
          <w:lang w:val="ro-RO"/>
        </w:rPr>
        <w:t xml:space="preserve"> </w:t>
      </w:r>
      <w:proofErr w:type="spellStart"/>
      <w:r>
        <w:rPr>
          <w:rFonts w:ascii="Calibri" w:hAnsi="Calibri" w:cs="Calibri"/>
          <w:i/>
          <w:iCs/>
          <w:lang w:val="ro-RO"/>
        </w:rPr>
        <w:t>empower</w:t>
      </w:r>
      <w:proofErr w:type="spellEnd"/>
      <w:r>
        <w:rPr>
          <w:rFonts w:ascii="Calibri" w:hAnsi="Calibri" w:cs="Calibri"/>
          <w:i/>
          <w:iCs/>
          <w:lang w:val="ro-RO"/>
        </w:rPr>
        <w:t xml:space="preserve"> local </w:t>
      </w:r>
      <w:proofErr w:type="spellStart"/>
      <w:r>
        <w:rPr>
          <w:rFonts w:ascii="Calibri" w:hAnsi="Calibri" w:cs="Calibri"/>
          <w:i/>
          <w:iCs/>
          <w:lang w:val="ro-RO"/>
        </w:rPr>
        <w:t>professionals</w:t>
      </w:r>
      <w:proofErr w:type="spellEnd"/>
      <w:r>
        <w:rPr>
          <w:rFonts w:ascii="Calibri" w:hAnsi="Calibri" w:cs="Calibri"/>
          <w:lang w:val="ro-RO"/>
        </w:rPr>
        <w:t>”</w:t>
      </w:r>
      <w:r>
        <w:rPr>
          <w:rStyle w:val="FootnoteReference"/>
          <w:rFonts w:ascii="Calibri" w:hAnsi="Calibri" w:cs="Calibri"/>
          <w:lang w:val="ro-RO"/>
        </w:rPr>
        <w:footnoteReference w:id="7"/>
      </w:r>
      <w:r>
        <w:rPr>
          <w:rFonts w:ascii="Calibri" w:hAnsi="Calibri" w:cs="Calibri"/>
          <w:lang w:val="ro-RO"/>
        </w:rPr>
        <w:t>.</w:t>
      </w:r>
    </w:p>
    <w:p w14:paraId="041FC2AC" w14:textId="77777777" w:rsidR="00B447BA" w:rsidRDefault="004E01FB">
      <w:pPr>
        <w:pStyle w:val="Standard"/>
        <w:spacing w:line="360" w:lineRule="auto"/>
        <w:jc w:val="both"/>
        <w:rPr>
          <w:rFonts w:ascii="Calibri" w:hAnsi="Calibri" w:cs="Calibri"/>
          <w:lang w:val="ro-RO"/>
        </w:rPr>
      </w:pPr>
      <w:r>
        <w:rPr>
          <w:rFonts w:ascii="Calibri" w:hAnsi="Calibri" w:cs="Calibri"/>
          <w:lang w:val="ro-RO"/>
        </w:rPr>
        <w:tab/>
        <w:t>În același timp, societățile mici de avocați au multe dificultăți în a face</w:t>
      </w:r>
      <w:r>
        <w:rPr>
          <w:rFonts w:ascii="Calibri" w:hAnsi="Calibri" w:cs="Calibri"/>
          <w:lang w:val="ro-RO"/>
        </w:rPr>
        <w:t xml:space="preserve"> față concurenței pe piața internă deoarece nu au resurse financiare pentru alocarea unui buget IT și nu au acces la consultanți IT. CCBE a mai constatat că profesia de avocat se va adapta ca urmare a schimbărilor ce</w:t>
      </w:r>
    </w:p>
    <w:p w14:paraId="517BE5DF" w14:textId="77777777" w:rsidR="00B447BA" w:rsidRDefault="004E01FB">
      <w:pPr>
        <w:pStyle w:val="Standard"/>
        <w:spacing w:line="360" w:lineRule="auto"/>
        <w:jc w:val="both"/>
        <w:rPr>
          <w:rFonts w:ascii="Calibri" w:hAnsi="Calibri" w:cs="Calibri"/>
          <w:lang w:val="ro-RO"/>
        </w:rPr>
      </w:pPr>
      <w:r>
        <w:rPr>
          <w:rFonts w:ascii="Calibri" w:hAnsi="Calibri" w:cs="Calibri"/>
          <w:lang w:val="ro-RO"/>
        </w:rPr>
        <w:t xml:space="preserve">vor surveni în activitatea </w:t>
      </w:r>
      <w:r>
        <w:rPr>
          <w:rFonts w:ascii="Calibri" w:hAnsi="Calibri" w:cs="Calibri"/>
          <w:lang w:val="ro-RO"/>
        </w:rPr>
        <w:t>instanțelor judecătorești și a altor autorități publice, precum noi tipuri de</w:t>
      </w:r>
    </w:p>
    <w:p w14:paraId="192E8E5B" w14:textId="77777777" w:rsidR="00B447BA" w:rsidRDefault="004E01FB">
      <w:pPr>
        <w:pStyle w:val="Standard"/>
        <w:spacing w:line="360" w:lineRule="auto"/>
        <w:jc w:val="both"/>
        <w:rPr>
          <w:rFonts w:ascii="Calibri" w:hAnsi="Calibri" w:cs="Calibri"/>
          <w:lang w:val="ro-RO"/>
        </w:rPr>
      </w:pPr>
      <w:r>
        <w:rPr>
          <w:rFonts w:ascii="Calibri" w:hAnsi="Calibri" w:cs="Calibri"/>
          <w:lang w:val="ro-RO"/>
        </w:rPr>
        <w:lastRenderedPageBreak/>
        <w:t>dovezi digitale sau un nou senzor încorporat în fluxul de lucru al instanțelor judecătorești și a altor autorități publice.</w:t>
      </w:r>
    </w:p>
    <w:p w14:paraId="2A17F394" w14:textId="77777777" w:rsidR="00B447BA" w:rsidRDefault="004E01FB">
      <w:pPr>
        <w:pStyle w:val="Standard"/>
        <w:spacing w:line="360" w:lineRule="auto"/>
        <w:jc w:val="both"/>
      </w:pPr>
      <w:r>
        <w:rPr>
          <w:rFonts w:ascii="Calibri" w:hAnsi="Calibri" w:cs="Calibri"/>
          <w:lang w:val="ro-RO"/>
        </w:rPr>
        <w:tab/>
        <w:t>Preocupările CCBE față de capacitatea societăților mi</w:t>
      </w:r>
      <w:r>
        <w:rPr>
          <w:rFonts w:ascii="Calibri" w:hAnsi="Calibri" w:cs="Calibri"/>
          <w:lang w:val="ro-RO"/>
        </w:rPr>
        <w:t>ci de avocați de a-și dezvolta infrastructura IT sunt similare celor ale Comisiei Europene</w:t>
      </w:r>
      <w:r>
        <w:rPr>
          <w:rStyle w:val="FootnoteReference"/>
          <w:rFonts w:ascii="Calibri" w:hAnsi="Calibri" w:cs="Calibri"/>
          <w:lang w:val="ro-RO"/>
        </w:rPr>
        <w:footnoteReference w:id="8"/>
      </w:r>
      <w:r>
        <w:rPr>
          <w:rFonts w:ascii="Calibri" w:hAnsi="Calibri" w:cs="Calibri"/>
          <w:lang w:val="ro-RO"/>
        </w:rPr>
        <w:t>, de a facilita accesul întreprinderilor mici și mijlocii, a</w:t>
      </w:r>
      <w:r>
        <w:rPr>
          <w:rFonts w:ascii="Calibri" w:hAnsi="Calibri" w:cs="Calibri"/>
          <w:lang w:val="ro-RO"/>
        </w:rPr>
        <w:t xml:space="preserve">l companiilor din </w:t>
      </w:r>
      <w:proofErr w:type="spellStart"/>
      <w:r>
        <w:rPr>
          <w:rFonts w:ascii="Calibri" w:hAnsi="Calibri" w:cs="Calibri"/>
          <w:lang w:val="ro-RO"/>
        </w:rPr>
        <w:t>sectorele</w:t>
      </w:r>
      <w:proofErr w:type="spellEnd"/>
      <w:r>
        <w:rPr>
          <w:rFonts w:ascii="Calibri" w:hAnsi="Calibri" w:cs="Calibri"/>
          <w:lang w:val="ro-RO"/>
        </w:rPr>
        <w:t xml:space="preserve"> non-tehnice și al administrației publice la cele mai recente tehnologii și de a testa IA prin intermediul centrelor de inovare digitală.</w:t>
      </w:r>
    </w:p>
    <w:p w14:paraId="73E84948" w14:textId="77777777" w:rsidR="00B447BA" w:rsidRDefault="004E01FB">
      <w:pPr>
        <w:pStyle w:val="Standard"/>
        <w:spacing w:line="360" w:lineRule="auto"/>
        <w:jc w:val="both"/>
        <w:rPr>
          <w:rFonts w:ascii="Calibri" w:hAnsi="Calibri" w:cs="Calibri"/>
          <w:lang w:val="ro-RO"/>
        </w:rPr>
      </w:pPr>
      <w:r>
        <w:rPr>
          <w:rFonts w:ascii="Calibri" w:hAnsi="Calibri" w:cs="Calibri"/>
          <w:lang w:val="ro-RO"/>
        </w:rPr>
        <w:tab/>
        <w:t>În prima parte a articolului voi prezenta pe scurt aplicațiile IA destinate activității av</w:t>
      </w:r>
      <w:r>
        <w:rPr>
          <w:rFonts w:ascii="Calibri" w:hAnsi="Calibri" w:cs="Calibri"/>
          <w:lang w:val="ro-RO"/>
        </w:rPr>
        <w:t>ocaților (Capitolul 1) pentru ca apoi să prezint avertismentele Consiliului Barourilor și Societăților de Drept din Europa (CCBE) privind riscurile rezultate din utilizarea aplicațiilor IA de către avocați (Capitolul 2). La final voi prezenta concluziile a</w:t>
      </w:r>
      <w:r>
        <w:rPr>
          <w:rFonts w:ascii="Calibri" w:hAnsi="Calibri" w:cs="Calibri"/>
          <w:lang w:val="ro-RO"/>
        </w:rPr>
        <w:t>rticolului privind modul în care digitalizarea activității avocaților va evalua în România (Capitolul 3).</w:t>
      </w:r>
    </w:p>
    <w:p w14:paraId="31504B2A" w14:textId="77777777" w:rsidR="00B447BA" w:rsidRDefault="00B447BA">
      <w:pPr>
        <w:pStyle w:val="Standard"/>
        <w:spacing w:line="360" w:lineRule="auto"/>
        <w:jc w:val="both"/>
        <w:rPr>
          <w:rFonts w:ascii="Calibri" w:hAnsi="Calibri" w:cs="Calibri"/>
          <w:lang w:val="ro-RO"/>
        </w:rPr>
      </w:pPr>
    </w:p>
    <w:p w14:paraId="70605569" w14:textId="77777777" w:rsidR="00B447BA" w:rsidRDefault="004E01FB">
      <w:pPr>
        <w:pStyle w:val="Standard"/>
        <w:spacing w:line="360" w:lineRule="auto"/>
        <w:jc w:val="both"/>
        <w:rPr>
          <w:rFonts w:ascii="Calibri" w:hAnsi="Calibri" w:cs="Calibri"/>
          <w:b/>
          <w:bCs/>
          <w:lang w:val="ro-RO"/>
        </w:rPr>
      </w:pPr>
      <w:r>
        <w:rPr>
          <w:rFonts w:ascii="Calibri" w:hAnsi="Calibri" w:cs="Calibri"/>
          <w:b/>
          <w:bCs/>
          <w:lang w:val="ro-RO"/>
        </w:rPr>
        <w:t>Capitolul 1 – Oportunitățile rezultate din utilizarea aplicațiilor IA de către avocați</w:t>
      </w:r>
    </w:p>
    <w:p w14:paraId="3AB97E1A" w14:textId="77777777" w:rsidR="00B447BA" w:rsidRDefault="00B447BA">
      <w:pPr>
        <w:pStyle w:val="Standard"/>
        <w:spacing w:line="360" w:lineRule="auto"/>
        <w:jc w:val="both"/>
        <w:rPr>
          <w:rFonts w:ascii="Calibri" w:hAnsi="Calibri" w:cs="Calibri"/>
          <w:b/>
          <w:bCs/>
          <w:lang w:val="ro-RO"/>
        </w:rPr>
      </w:pPr>
    </w:p>
    <w:p w14:paraId="79278714" w14:textId="77777777" w:rsidR="00B447BA" w:rsidRDefault="004E01FB">
      <w:pPr>
        <w:pStyle w:val="Standard"/>
        <w:spacing w:line="360" w:lineRule="auto"/>
        <w:jc w:val="both"/>
        <w:rPr>
          <w:rFonts w:ascii="Calibri" w:hAnsi="Calibri" w:cs="Calibri"/>
          <w:lang w:val="ro-RO"/>
        </w:rPr>
      </w:pPr>
      <w:r>
        <w:rPr>
          <w:rFonts w:ascii="Calibri" w:hAnsi="Calibri" w:cs="Calibri"/>
          <w:lang w:val="ro-RO"/>
        </w:rPr>
        <w:tab/>
        <w:t xml:space="preserve">Autorii Ghidului au specificat faptul că nu doresc să </w:t>
      </w:r>
      <w:r>
        <w:rPr>
          <w:rFonts w:ascii="Calibri" w:hAnsi="Calibri" w:cs="Calibri"/>
          <w:lang w:val="ro-RO"/>
        </w:rPr>
        <w:t xml:space="preserve">orienteze societăților mici de avocați/cabinetele individuale spre achiziția anumitor produse, fără a oferi recomandări referitoare utilizarea anumitor aplicații utilizând IA. Acești au arătat că doresc să ofere informații despre ce așteptări realiste pot </w:t>
      </w:r>
      <w:r>
        <w:rPr>
          <w:rFonts w:ascii="Calibri" w:hAnsi="Calibri" w:cs="Calibri"/>
          <w:lang w:val="ro-RO"/>
        </w:rPr>
        <w:t>avea avocații de la aplicațiile IA, ce pot livra în concret și care sunt limitele lor.</w:t>
      </w:r>
    </w:p>
    <w:p w14:paraId="7C761016" w14:textId="77777777" w:rsidR="00B447BA" w:rsidRDefault="004E01FB">
      <w:pPr>
        <w:pStyle w:val="Standard"/>
        <w:spacing w:line="360" w:lineRule="auto"/>
        <w:jc w:val="both"/>
      </w:pPr>
      <w:r>
        <w:rPr>
          <w:rFonts w:ascii="Calibri" w:hAnsi="Calibri" w:cs="Calibri"/>
          <w:lang w:val="ro-RO"/>
        </w:rPr>
        <w:tab/>
        <w:t>Toate aplicațiile IA sunt construite folosind baze de date introduse de juriști, în care fiecare noțiune are o definiție juridică pentru ca apoi aplicația să genereze t</w:t>
      </w:r>
      <w:r>
        <w:rPr>
          <w:rFonts w:ascii="Calibri" w:hAnsi="Calibri" w:cs="Calibri"/>
          <w:lang w:val="ro-RO"/>
        </w:rPr>
        <w:t>ext juridic, de exemplu contracte, cereri de chemare în judecată etc. Acest mecanism funcționează și invers, prin creare unui text simplu dintr-un text juridic specializat, pe baza noțiunilor predefinite de către autorul programului</w:t>
      </w:r>
      <w:r>
        <w:rPr>
          <w:rStyle w:val="FootnoteReference"/>
          <w:rFonts w:ascii="Calibri" w:hAnsi="Calibri" w:cs="Calibri"/>
          <w:lang w:val="ro-RO"/>
        </w:rPr>
        <w:footnoteReference w:id="9"/>
      </w:r>
      <w:r>
        <w:rPr>
          <w:rFonts w:ascii="Calibri" w:hAnsi="Calibri" w:cs="Calibri"/>
          <w:lang w:val="ro-RO"/>
        </w:rPr>
        <w:t>.</w:t>
      </w:r>
    </w:p>
    <w:p w14:paraId="585405B7" w14:textId="77777777" w:rsidR="00B447BA" w:rsidRDefault="004E01FB">
      <w:pPr>
        <w:pStyle w:val="Standard"/>
        <w:spacing w:line="360" w:lineRule="auto"/>
        <w:jc w:val="both"/>
      </w:pPr>
      <w:r>
        <w:rPr>
          <w:rFonts w:ascii="Calibri" w:hAnsi="Calibri" w:cs="Calibri"/>
          <w:lang w:val="ro-RO"/>
        </w:rPr>
        <w:tab/>
        <w:t>Aplicațiile IA au fost dezvoltate să aplice și învățarea automată</w:t>
      </w:r>
      <w:r>
        <w:rPr>
          <w:rStyle w:val="FootnoteReference"/>
          <w:rFonts w:ascii="Calibri" w:hAnsi="Calibri" w:cs="Calibri"/>
          <w:lang w:val="ro-RO"/>
        </w:rPr>
        <w:footnoteReference w:id="10"/>
      </w:r>
      <w:r>
        <w:rPr>
          <w:rFonts w:ascii="Calibri" w:hAnsi="Calibri" w:cs="Calibri"/>
          <w:lang w:val="ro-RO"/>
        </w:rPr>
        <w:t xml:space="preserve"> (sau învățarea profundă</w:t>
      </w:r>
      <w:r>
        <w:rPr>
          <w:rStyle w:val="FootnoteReference"/>
          <w:rFonts w:ascii="Calibri" w:hAnsi="Calibri" w:cs="Calibri"/>
          <w:lang w:val="ro-RO"/>
        </w:rPr>
        <w:footnoteReference w:id="11"/>
      </w:r>
      <w:r>
        <w:rPr>
          <w:rFonts w:ascii="Calibri" w:hAnsi="Calibri" w:cs="Calibri"/>
          <w:lang w:val="ro-RO"/>
        </w:rPr>
        <w:t>),</w:t>
      </w:r>
    </w:p>
    <w:p w14:paraId="2A6C22B6" w14:textId="77777777" w:rsidR="00B447BA" w:rsidRDefault="00B447BA">
      <w:pPr>
        <w:pStyle w:val="Standard"/>
        <w:spacing w:line="360" w:lineRule="auto"/>
        <w:jc w:val="both"/>
        <w:rPr>
          <w:rFonts w:ascii="Calibri" w:hAnsi="Calibri" w:cs="Calibri"/>
          <w:lang w:val="ro-RO"/>
        </w:rPr>
      </w:pPr>
    </w:p>
    <w:p w14:paraId="117C62CE" w14:textId="77777777" w:rsidR="00B447BA" w:rsidRDefault="004E01FB">
      <w:pPr>
        <w:pStyle w:val="Standard"/>
        <w:spacing w:line="360" w:lineRule="auto"/>
        <w:jc w:val="center"/>
      </w:pPr>
      <w:r>
        <w:rPr>
          <w:rFonts w:ascii="Calibri" w:hAnsi="Calibri" w:cs="Calibri"/>
          <w:lang w:val="ro-RO"/>
        </w:rPr>
        <w:fldChar w:fldCharType="begin"/>
      </w:r>
      <w:r>
        <w:rPr>
          <w:rFonts w:ascii="Calibri" w:hAnsi="Calibri" w:cs="Calibri"/>
          <w:lang w:val="ro-RO"/>
        </w:rPr>
        <w:instrText xml:space="preserve"> PAGE </w:instrText>
      </w:r>
      <w:r>
        <w:rPr>
          <w:rFonts w:ascii="Calibri" w:hAnsi="Calibri" w:cs="Calibri"/>
          <w:lang w:val="ro-RO"/>
        </w:rPr>
        <w:fldChar w:fldCharType="separate"/>
      </w:r>
      <w:r>
        <w:rPr>
          <w:rFonts w:ascii="Calibri" w:hAnsi="Calibri" w:cs="Calibri"/>
          <w:lang w:val="ro-RO"/>
        </w:rPr>
        <w:t>3</w:t>
      </w:r>
      <w:r>
        <w:rPr>
          <w:rFonts w:ascii="Calibri" w:hAnsi="Calibri" w:cs="Calibri"/>
          <w:lang w:val="ro-RO"/>
        </w:rPr>
        <w:fldChar w:fldCharType="end"/>
      </w:r>
    </w:p>
    <w:p w14:paraId="6BE745A3" w14:textId="77777777" w:rsidR="00B447BA" w:rsidRDefault="004E01FB">
      <w:pPr>
        <w:pStyle w:val="Standard"/>
        <w:spacing w:line="360" w:lineRule="auto"/>
        <w:jc w:val="both"/>
        <w:rPr>
          <w:rFonts w:ascii="Calibri" w:hAnsi="Calibri" w:cs="Calibri"/>
          <w:lang w:val="ro-RO"/>
        </w:rPr>
      </w:pPr>
      <w:r>
        <w:rPr>
          <w:rFonts w:ascii="Calibri" w:hAnsi="Calibri" w:cs="Calibri"/>
          <w:lang w:val="ro-RO"/>
        </w:rPr>
        <w:t xml:space="preserve">prin identificarea modelelor din datele disponibile și apoi prin aplicarea cunoștințelor asupra datelor noi, ceea ce este posibil doar dacă datele sunt digitalizate și nu se </w:t>
      </w:r>
      <w:r>
        <w:rPr>
          <w:rFonts w:ascii="Calibri" w:hAnsi="Calibri" w:cs="Calibri"/>
          <w:lang w:val="ro-RO"/>
        </w:rPr>
        <w:t>regăsesc exclusiv pe suport de hârtie.</w:t>
      </w:r>
    </w:p>
    <w:p w14:paraId="22675F06" w14:textId="77777777" w:rsidR="00B447BA" w:rsidRDefault="004E01FB">
      <w:pPr>
        <w:pStyle w:val="Standard"/>
        <w:spacing w:line="360" w:lineRule="auto"/>
        <w:jc w:val="both"/>
        <w:rPr>
          <w:rFonts w:ascii="Calibri" w:hAnsi="Calibri" w:cs="Calibri"/>
          <w:lang w:val="ro-RO"/>
        </w:rPr>
      </w:pPr>
      <w:r>
        <w:rPr>
          <w:rFonts w:ascii="Calibri" w:hAnsi="Calibri" w:cs="Calibri"/>
          <w:lang w:val="ro-RO"/>
        </w:rPr>
        <w:tab/>
        <w:t>Deși unele aplicații IA destinate domeniului juridic sunt folosite deja și în România totuși acestea nu sunt utilizate de către societățile mici de avocați/cabinetele individuale care nu își permit de multe ori costu</w:t>
      </w:r>
      <w:r>
        <w:rPr>
          <w:rFonts w:ascii="Calibri" w:hAnsi="Calibri" w:cs="Calibri"/>
          <w:lang w:val="ro-RO"/>
        </w:rPr>
        <w:t xml:space="preserve">l acestora și nici angajarea unui specialist IT.                                                        </w:t>
      </w:r>
    </w:p>
    <w:p w14:paraId="72B536BA" w14:textId="77777777" w:rsidR="00B447BA" w:rsidRDefault="004E01FB">
      <w:pPr>
        <w:pStyle w:val="Standard"/>
        <w:spacing w:line="360" w:lineRule="auto"/>
        <w:jc w:val="both"/>
      </w:pPr>
      <w:r>
        <w:rPr>
          <w:rFonts w:ascii="Calibri" w:hAnsi="Calibri" w:cs="Calibri"/>
          <w:lang w:val="ro-RO"/>
        </w:rPr>
        <w:tab/>
        <w:t>În Ghid</w:t>
      </w:r>
      <w:r>
        <w:rPr>
          <w:rStyle w:val="FootnoteReference"/>
          <w:rFonts w:ascii="Calibri" w:hAnsi="Calibri" w:cs="Calibri"/>
          <w:lang w:val="ro-RO"/>
        </w:rPr>
        <w:footnoteReference w:id="12"/>
      </w:r>
      <w:r>
        <w:rPr>
          <w:rFonts w:ascii="Calibri" w:hAnsi="Calibri" w:cs="Calibri"/>
          <w:lang w:val="ro-RO"/>
        </w:rPr>
        <w:t xml:space="preserve"> sunt clasificate șase categorii de instrumente tehnice ce sunt relev</w:t>
      </w:r>
      <w:r>
        <w:rPr>
          <w:rFonts w:ascii="Calibri" w:hAnsi="Calibri" w:cs="Calibri"/>
          <w:lang w:val="ro-RO"/>
        </w:rPr>
        <w:t>ante în activitatea avocaților și anume:</w:t>
      </w:r>
    </w:p>
    <w:p w14:paraId="2D017DB3" w14:textId="77777777" w:rsidR="00B447BA" w:rsidRDefault="004E01FB">
      <w:pPr>
        <w:pStyle w:val="Standard"/>
        <w:numPr>
          <w:ilvl w:val="0"/>
          <w:numId w:val="1"/>
        </w:numPr>
        <w:spacing w:line="360" w:lineRule="auto"/>
        <w:jc w:val="both"/>
      </w:pPr>
      <w:r>
        <w:rPr>
          <w:rFonts w:ascii="Calibri" w:hAnsi="Calibri" w:cs="Calibri"/>
          <w:b/>
          <w:bCs/>
          <w:u w:val="single"/>
          <w:lang w:val="ro-RO"/>
        </w:rPr>
        <w:t>Programe de redactare a documentelor</w:t>
      </w:r>
      <w:r>
        <w:rPr>
          <w:rFonts w:ascii="Calibri" w:hAnsi="Calibri" w:cs="Calibri"/>
          <w:lang w:val="ro-RO"/>
        </w:rPr>
        <w:t>, ce includ și opțiuni specifice precum verificarea gramaticală, verificarea dacă documentul are similitudini cu sursele online etc. , și care sunt de obicei incluse în procesoare</w:t>
      </w:r>
      <w:r>
        <w:rPr>
          <w:rFonts w:ascii="Calibri" w:hAnsi="Calibri" w:cs="Calibri"/>
          <w:lang w:val="ro-RO"/>
        </w:rPr>
        <w:t xml:space="preserve">le </w:t>
      </w:r>
      <w:proofErr w:type="spellStart"/>
      <w:r>
        <w:rPr>
          <w:rFonts w:ascii="Calibri" w:hAnsi="Calibri" w:cs="Calibri"/>
          <w:lang w:val="ro-RO"/>
        </w:rPr>
        <w:t>word</w:t>
      </w:r>
      <w:proofErr w:type="spellEnd"/>
      <w:r>
        <w:rPr>
          <w:rFonts w:ascii="Calibri" w:hAnsi="Calibri" w:cs="Calibri"/>
          <w:lang w:val="ro-RO"/>
        </w:rPr>
        <w:t xml:space="preserve"> și ce sunt folosite pe scară largă în prezent de către avocați.</w:t>
      </w:r>
    </w:p>
    <w:p w14:paraId="2D4006E2" w14:textId="77777777" w:rsidR="00B447BA" w:rsidRDefault="004E01FB">
      <w:pPr>
        <w:pStyle w:val="Standard"/>
        <w:numPr>
          <w:ilvl w:val="0"/>
          <w:numId w:val="1"/>
        </w:numPr>
        <w:spacing w:line="360" w:lineRule="auto"/>
        <w:jc w:val="both"/>
      </w:pPr>
      <w:r>
        <w:rPr>
          <w:rFonts w:ascii="Calibri" w:hAnsi="Calibri" w:cs="Calibri"/>
          <w:b/>
          <w:bCs/>
          <w:u w:val="single"/>
          <w:lang w:val="ro-RO"/>
        </w:rPr>
        <w:t>Programe de generare automată a documentelor juridice,</w:t>
      </w:r>
      <w:r>
        <w:rPr>
          <w:rFonts w:ascii="Calibri" w:hAnsi="Calibri" w:cs="Calibri"/>
          <w:lang w:val="ro-RO"/>
        </w:rPr>
        <w:t xml:space="preserve"> prin redactarea unor texte – șablon ce vor fi utilizate ulterior la generarea automată a contractelor sau a cererilor de chemare </w:t>
      </w:r>
      <w:r>
        <w:rPr>
          <w:rFonts w:ascii="Calibri" w:hAnsi="Calibri" w:cs="Calibri"/>
          <w:lang w:val="ro-RO"/>
        </w:rPr>
        <w:t xml:space="preserve">în judecată (similare programelor prin care sunt construite </w:t>
      </w:r>
      <w:proofErr w:type="spellStart"/>
      <w:r>
        <w:rPr>
          <w:rFonts w:ascii="Calibri" w:hAnsi="Calibri" w:cs="Calibri"/>
          <w:lang w:val="ro-RO"/>
        </w:rPr>
        <w:t>websiteuri</w:t>
      </w:r>
      <w:proofErr w:type="spellEnd"/>
      <w:r>
        <w:rPr>
          <w:rFonts w:ascii="Calibri" w:hAnsi="Calibri" w:cs="Calibri"/>
          <w:lang w:val="ro-RO"/>
        </w:rPr>
        <w:t>). Aceste programe au fost folosite încă din anii 1990 în Europa dar nu au fost utilizate la scară largă pentru că textele – șablon conțin prevederi generale și nu au fost construite pro</w:t>
      </w:r>
      <w:r>
        <w:rPr>
          <w:rFonts w:ascii="Calibri" w:hAnsi="Calibri" w:cs="Calibri"/>
          <w:lang w:val="ro-RO"/>
        </w:rPr>
        <w:t xml:space="preserve">grame care să creeze un conținut complex, adaptat practicii și nici nu au fost adaptate lingvistic pentru alte </w:t>
      </w:r>
      <w:proofErr w:type="spellStart"/>
      <w:r>
        <w:rPr>
          <w:rFonts w:ascii="Calibri" w:hAnsi="Calibri" w:cs="Calibri"/>
          <w:lang w:val="ro-RO"/>
        </w:rPr>
        <w:t>juridisdicții</w:t>
      </w:r>
      <w:proofErr w:type="spellEnd"/>
      <w:r>
        <w:rPr>
          <w:rFonts w:ascii="Calibri" w:hAnsi="Calibri" w:cs="Calibri"/>
          <w:lang w:val="ro-RO"/>
        </w:rPr>
        <w:t xml:space="preserve"> decât franceză, germană sau olandeză.</w:t>
      </w:r>
    </w:p>
    <w:p w14:paraId="0C54D130" w14:textId="77777777" w:rsidR="00B447BA" w:rsidRDefault="004E01FB">
      <w:pPr>
        <w:pStyle w:val="Standard"/>
        <w:numPr>
          <w:ilvl w:val="0"/>
          <w:numId w:val="1"/>
        </w:numPr>
        <w:spacing w:line="360" w:lineRule="auto"/>
        <w:ind w:left="0"/>
        <w:jc w:val="both"/>
      </w:pPr>
      <w:r>
        <w:rPr>
          <w:rFonts w:ascii="Calibri" w:hAnsi="Calibri" w:cs="Calibri"/>
          <w:b/>
          <w:bCs/>
          <w:u w:val="single"/>
          <w:lang w:val="ro-RO"/>
        </w:rPr>
        <w:t>Programe ce generează un text juridic pornind de la introducerea unor date</w:t>
      </w:r>
      <w:r>
        <w:rPr>
          <w:rFonts w:ascii="Calibri" w:hAnsi="Calibri" w:cs="Calibri"/>
          <w:lang w:val="ro-RO"/>
        </w:rPr>
        <w:t>, de exemplu genera</w:t>
      </w:r>
      <w:r>
        <w:rPr>
          <w:rFonts w:ascii="Calibri" w:hAnsi="Calibri" w:cs="Calibri"/>
          <w:lang w:val="ro-RO"/>
        </w:rPr>
        <w:t>rea automată a unei plângeri contravenționale, în program fiind introduse datele referitoare la coordonatele de timp, loc, situația de fapt, argumentele avocatului iar programul ar genera plângerea contravențională ce poate fi semnată electronic și expedia</w:t>
      </w:r>
      <w:r>
        <w:rPr>
          <w:rFonts w:ascii="Calibri" w:hAnsi="Calibri" w:cs="Calibri"/>
          <w:lang w:val="ro-RO"/>
        </w:rPr>
        <w:t xml:space="preserve">tă la instanță. Aproape nicio societate mică de avocați din Europa nu folosește un astfel de program. Trecerea de la procesoarele </w:t>
      </w:r>
      <w:proofErr w:type="spellStart"/>
      <w:r>
        <w:rPr>
          <w:rFonts w:ascii="Calibri" w:hAnsi="Calibri" w:cs="Calibri"/>
          <w:lang w:val="ro-RO"/>
        </w:rPr>
        <w:t>word</w:t>
      </w:r>
      <w:proofErr w:type="spellEnd"/>
      <w:r>
        <w:rPr>
          <w:rFonts w:ascii="Calibri" w:hAnsi="Calibri" w:cs="Calibri"/>
          <w:lang w:val="ro-RO"/>
        </w:rPr>
        <w:t xml:space="preserve"> la acest tip de program va avea loc cât de curând, aceasta și în contextul </w:t>
      </w:r>
      <w:r>
        <w:rPr>
          <w:rFonts w:ascii="Calibri" w:hAnsi="Calibri" w:cs="Calibri"/>
          <w:b/>
          <w:bCs/>
          <w:lang w:val="ro-RO"/>
        </w:rPr>
        <w:t>Recomandărilor Comisie Europene pentru eficien</w:t>
      </w:r>
      <w:r>
        <w:rPr>
          <w:rFonts w:ascii="Calibri" w:hAnsi="Calibri" w:cs="Calibri"/>
          <w:b/>
          <w:bCs/>
          <w:lang w:val="ro-RO"/>
        </w:rPr>
        <w:t>tizarea justiției</w:t>
      </w:r>
      <w:r>
        <w:rPr>
          <w:rFonts w:ascii="Calibri" w:hAnsi="Calibri" w:cs="Calibri"/>
          <w:lang w:val="ro-RO"/>
        </w:rPr>
        <w:t xml:space="preserve">, formulate în </w:t>
      </w:r>
      <w:r>
        <w:rPr>
          <w:rFonts w:ascii="Calibri" w:hAnsi="Calibri" w:cs="Calibri"/>
          <w:b/>
          <w:bCs/>
          <w:i/>
          <w:iCs/>
          <w:lang w:val="ro-RO"/>
        </w:rPr>
        <w:t>Ghidul de introducere electronică a cererilor de chemare în judecată (e-</w:t>
      </w:r>
      <w:proofErr w:type="spellStart"/>
      <w:r>
        <w:rPr>
          <w:rFonts w:ascii="Calibri" w:hAnsi="Calibri" w:cs="Calibri"/>
          <w:b/>
          <w:bCs/>
          <w:i/>
          <w:iCs/>
          <w:lang w:val="ro-RO"/>
        </w:rPr>
        <w:t>filling</w:t>
      </w:r>
      <w:proofErr w:type="spellEnd"/>
      <w:r>
        <w:rPr>
          <w:rFonts w:ascii="Calibri" w:hAnsi="Calibri" w:cs="Calibri"/>
          <w:b/>
          <w:bCs/>
          <w:i/>
          <w:iCs/>
          <w:lang w:val="ro-RO"/>
        </w:rPr>
        <w:t>) și de digitalizare a instanțelor judecătorești</w:t>
      </w:r>
      <w:r>
        <w:rPr>
          <w:rStyle w:val="FootnoteReference"/>
          <w:rFonts w:ascii="Calibri" w:hAnsi="Calibri" w:cs="Calibri"/>
          <w:b/>
          <w:bCs/>
          <w:i/>
          <w:iCs/>
          <w:lang w:val="ro-RO"/>
        </w:rPr>
        <w:footnoteReference w:id="13"/>
      </w:r>
      <w:r>
        <w:rPr>
          <w:rFonts w:ascii="Calibri" w:hAnsi="Calibri" w:cs="Calibri"/>
          <w:lang w:val="ro-RO"/>
        </w:rPr>
        <w:t xml:space="preserve">. Acesta </w:t>
      </w:r>
      <w:r>
        <w:rPr>
          <w:rFonts w:ascii="Calibri" w:hAnsi="Calibri" w:cs="Calibri"/>
          <w:lang w:val="ro-RO"/>
        </w:rPr>
        <w:lastRenderedPageBreak/>
        <w:t xml:space="preserve">recomandă </w:t>
      </w:r>
      <w:r>
        <w:rPr>
          <w:rFonts w:ascii="Calibri" w:hAnsi="Calibri" w:cs="Calibri"/>
          <w:lang w:val="ro-RO"/>
        </w:rPr>
        <w:t>crearea unui program care să prelucreze automat sau semiautomat datele introduse de avocat, printr-un mecanism ce verifică automat calitatea și caracterul complet al acestora, în raport cu o bază de date externă ( de exemplu, verificarea datelor de identit</w:t>
      </w:r>
      <w:r>
        <w:rPr>
          <w:rFonts w:ascii="Calibri" w:hAnsi="Calibri" w:cs="Calibri"/>
          <w:lang w:val="ro-RO"/>
        </w:rPr>
        <w:t>ate ale unei persoane din sistemul DEPAB), va încorpora fișiere mari și multimedia  (precum interceptări sau fișiere video) și o modalitate de calcul automat și de plată online a taxelor de timbru, integrată în sistemul e-</w:t>
      </w:r>
      <w:proofErr w:type="spellStart"/>
      <w:r>
        <w:rPr>
          <w:rFonts w:ascii="Calibri" w:hAnsi="Calibri" w:cs="Calibri"/>
          <w:lang w:val="ro-RO"/>
        </w:rPr>
        <w:t>filing</w:t>
      </w:r>
      <w:proofErr w:type="spellEnd"/>
      <w:r>
        <w:rPr>
          <w:rFonts w:ascii="Calibri" w:hAnsi="Calibri" w:cs="Calibri"/>
          <w:lang w:val="ro-RO"/>
        </w:rPr>
        <w:t>.  Totuși, aceste instrument</w:t>
      </w:r>
      <w:r>
        <w:rPr>
          <w:rFonts w:ascii="Calibri" w:hAnsi="Calibri" w:cs="Calibri"/>
          <w:lang w:val="ro-RO"/>
        </w:rPr>
        <w:t>e IA, adaptate unei limbi și jurisdicții specifice, nu vor putea înlocui expertiza umană, fiind necesară verificarea de către avocat a îndeplinirii tuturor condițiilor de formă și de fond ale documentului trimis instanței.</w:t>
      </w:r>
    </w:p>
    <w:p w14:paraId="2CE9E40C" w14:textId="77777777" w:rsidR="00B447BA" w:rsidRDefault="004E01FB">
      <w:pPr>
        <w:pStyle w:val="Standard"/>
        <w:numPr>
          <w:ilvl w:val="0"/>
          <w:numId w:val="1"/>
        </w:numPr>
        <w:spacing w:line="360" w:lineRule="auto"/>
        <w:jc w:val="both"/>
      </w:pPr>
      <w:r>
        <w:rPr>
          <w:rFonts w:ascii="Calibri" w:hAnsi="Calibri" w:cs="Calibri"/>
          <w:b/>
          <w:bCs/>
          <w:u w:val="single"/>
          <w:lang w:val="ro-RO"/>
        </w:rPr>
        <w:t>Programe de analiză ale documente</w:t>
      </w:r>
      <w:r>
        <w:rPr>
          <w:rFonts w:ascii="Calibri" w:hAnsi="Calibri" w:cs="Calibri"/>
          <w:b/>
          <w:bCs/>
          <w:u w:val="single"/>
          <w:lang w:val="ro-RO"/>
        </w:rPr>
        <w:t>lor juridice,</w:t>
      </w:r>
      <w:r>
        <w:rPr>
          <w:rFonts w:ascii="Calibri" w:hAnsi="Calibri" w:cs="Calibri"/>
          <w:lang w:val="ro-RO"/>
        </w:rPr>
        <w:t xml:space="preserve"> în care programul analizează documentele trimise de avocat și extrage argumentele esențiale, realizează un rezumat al documentului în ordinea argumentelor invocate, subliniază prevederi ce au fost omise de avocat sau chiar propune revizuirea </w:t>
      </w:r>
      <w:r>
        <w:rPr>
          <w:rFonts w:ascii="Calibri" w:hAnsi="Calibri" w:cs="Calibri"/>
          <w:lang w:val="ro-RO"/>
        </w:rPr>
        <w:t xml:space="preserve">unor clauze dintr-un contract.  </w:t>
      </w:r>
    </w:p>
    <w:p w14:paraId="23DE7063" w14:textId="77777777" w:rsidR="00B447BA" w:rsidRDefault="004E01FB">
      <w:pPr>
        <w:pStyle w:val="Standard"/>
        <w:numPr>
          <w:ilvl w:val="0"/>
          <w:numId w:val="1"/>
        </w:numPr>
        <w:spacing w:line="360" w:lineRule="auto"/>
        <w:ind w:left="0" w:firstLine="0"/>
        <w:jc w:val="both"/>
      </w:pPr>
      <w:r>
        <w:rPr>
          <w:rFonts w:ascii="Calibri" w:hAnsi="Calibri" w:cs="Calibri"/>
          <w:b/>
          <w:bCs/>
          <w:u w:val="single"/>
          <w:lang w:val="ro-RO"/>
        </w:rPr>
        <w:t>Programe de analiză a documentelor juridice,  hotărârilor judecătorești, a legislației și de căutarea calitativă a informațiilor într-un text juridic,</w:t>
      </w:r>
      <w:r>
        <w:rPr>
          <w:rFonts w:ascii="Calibri" w:hAnsi="Calibri" w:cs="Calibri"/>
          <w:lang w:val="ro-RO"/>
        </w:rPr>
        <w:t xml:space="preserve"> denumite și </w:t>
      </w:r>
      <w:r>
        <w:rPr>
          <w:rFonts w:ascii="Calibri" w:hAnsi="Calibri" w:cs="Calibri"/>
          <w:b/>
          <w:bCs/>
          <w:i/>
          <w:iCs/>
          <w:lang w:val="ro-RO"/>
        </w:rPr>
        <w:t>”justiție analitică</w:t>
      </w:r>
      <w:r>
        <w:rPr>
          <w:rFonts w:ascii="Calibri" w:hAnsi="Calibri" w:cs="Calibri"/>
          <w:b/>
          <w:bCs/>
          <w:lang w:val="ro-RO"/>
        </w:rPr>
        <w:t>”</w:t>
      </w:r>
      <w:r>
        <w:rPr>
          <w:rFonts w:ascii="Calibri" w:hAnsi="Calibri" w:cs="Calibri"/>
          <w:i/>
          <w:iCs/>
          <w:lang w:val="ro-RO"/>
        </w:rPr>
        <w:t>,</w:t>
      </w:r>
      <w:r>
        <w:rPr>
          <w:rFonts w:ascii="Calibri" w:hAnsi="Calibri" w:cs="Calibri"/>
          <w:lang w:val="ro-RO"/>
        </w:rPr>
        <w:t xml:space="preserve"> prin </w:t>
      </w:r>
      <w:r>
        <w:rPr>
          <w:rFonts w:ascii="Calibri" w:hAnsi="Calibri" w:cs="Calibri"/>
          <w:b/>
          <w:bCs/>
          <w:lang w:val="ro-RO"/>
        </w:rPr>
        <w:t>căutarea argumentelor dintr-un te</w:t>
      </w:r>
      <w:r>
        <w:rPr>
          <w:rFonts w:ascii="Calibri" w:hAnsi="Calibri" w:cs="Calibri"/>
          <w:b/>
          <w:bCs/>
          <w:lang w:val="ro-RO"/>
        </w:rPr>
        <w:t xml:space="preserve">xt și nu doar o simplă căutare </w:t>
      </w:r>
      <w:proofErr w:type="spellStart"/>
      <w:r>
        <w:rPr>
          <w:rFonts w:ascii="Calibri" w:hAnsi="Calibri" w:cs="Calibri"/>
          <w:b/>
          <w:bCs/>
          <w:lang w:val="ro-RO"/>
        </w:rPr>
        <w:t>semnatică</w:t>
      </w:r>
      <w:proofErr w:type="spellEnd"/>
      <w:r>
        <w:rPr>
          <w:rFonts w:ascii="Calibri" w:hAnsi="Calibri" w:cs="Calibri"/>
          <w:lang w:val="ro-RO"/>
        </w:rPr>
        <w:t xml:space="preserve">. Alte programe au mers mai departe și au dezvoltat chiar și </w:t>
      </w:r>
      <w:r>
        <w:rPr>
          <w:rFonts w:ascii="Calibri" w:hAnsi="Calibri" w:cs="Calibri"/>
          <w:i/>
          <w:iCs/>
          <w:lang w:val="ro-RO"/>
        </w:rPr>
        <w:t>instrumente de analiză predictivă</w:t>
      </w:r>
      <w:r>
        <w:rPr>
          <w:rFonts w:ascii="Calibri" w:hAnsi="Calibri" w:cs="Calibri"/>
          <w:lang w:val="ro-RO"/>
        </w:rPr>
        <w:t xml:space="preserve">, în care în raport de jurisprudența introdusă și pot oferi o </w:t>
      </w:r>
      <w:r>
        <w:rPr>
          <w:rFonts w:ascii="Calibri" w:hAnsi="Calibri" w:cs="Calibri"/>
          <w:i/>
          <w:iCs/>
          <w:lang w:val="ro-RO"/>
        </w:rPr>
        <w:t>estimare a rezultatului litigiului</w:t>
      </w:r>
      <w:r>
        <w:rPr>
          <w:rFonts w:ascii="Calibri" w:hAnsi="Calibri" w:cs="Calibri"/>
          <w:lang w:val="ro-RO"/>
        </w:rPr>
        <w:t xml:space="preserve">, de exemplu dozarea unei </w:t>
      </w:r>
      <w:r>
        <w:rPr>
          <w:rFonts w:ascii="Calibri" w:hAnsi="Calibri" w:cs="Calibri"/>
          <w:lang w:val="ro-RO"/>
        </w:rPr>
        <w:t>pedepse sau cuantumul despăgubirilor ce pot fi acordate în cazul vătămării corporale. Aceste instrumente există și pe piața autohtonă, însă sunt accesate într-o mică măsură de către avocații care lucrează individual. Avocații își vor asuma responsabilitate</w:t>
      </w:r>
      <w:r>
        <w:rPr>
          <w:rFonts w:ascii="Calibri" w:hAnsi="Calibri" w:cs="Calibri"/>
          <w:lang w:val="ro-RO"/>
        </w:rPr>
        <w:t>a interpretării datelor rezultate din utilizarea programelor astfel că nu există riscul ca profesia de avocat să se transforme într-o profesie redundată, precum aceea a operatorilor de lift</w:t>
      </w:r>
      <w:r>
        <w:rPr>
          <w:rStyle w:val="FootnoteReference"/>
          <w:rFonts w:ascii="Calibri" w:hAnsi="Calibri" w:cs="Calibri"/>
          <w:lang w:val="ro-RO"/>
        </w:rPr>
        <w:footnoteReference w:id="14"/>
      </w:r>
      <w:r>
        <w:rPr>
          <w:rFonts w:ascii="Calibri" w:hAnsi="Calibri" w:cs="Calibri"/>
          <w:lang w:val="ro-RO"/>
        </w:rPr>
        <w:t>. Programele bazate pe IA au un rol important și în dreptul continental, în care există un complex sistem de codificare a  legislației, deoarece de multe ori apar în practică situații ce nu au fost pr</w:t>
      </w:r>
      <w:r>
        <w:rPr>
          <w:rFonts w:ascii="Calibri" w:hAnsi="Calibri" w:cs="Calibri"/>
          <w:lang w:val="ro-RO"/>
        </w:rPr>
        <w:t>evăzute în legislație</w:t>
      </w:r>
      <w:r>
        <w:rPr>
          <w:rStyle w:val="FootnoteReference"/>
          <w:rFonts w:ascii="Calibri" w:hAnsi="Calibri" w:cs="Calibri"/>
          <w:lang w:val="ro-RO"/>
        </w:rPr>
        <w:footnoteReference w:id="15"/>
      </w:r>
      <w:r>
        <w:rPr>
          <w:rFonts w:ascii="Calibri" w:hAnsi="Calibri" w:cs="Calibri"/>
          <w:lang w:val="ro-RO"/>
        </w:rPr>
        <w:t xml:space="preserve">. De exemplu, avocații pot studia jurisprudența utilizând programele IA pentru a </w:t>
      </w:r>
      <w:r>
        <w:rPr>
          <w:rFonts w:ascii="Calibri" w:hAnsi="Calibri" w:cs="Calibri"/>
          <w:lang w:val="ro-RO"/>
        </w:rPr>
        <w:t>afla ce probe sunt acceptate de instanță în cazul concedierii nelegale a unui salariat aflat în concediu medical. În Statele Unite ale Americii analiza IA merge chiar mai departe, prin analizarea activității avocaților și judecătorilor, precum istoricul ca</w:t>
      </w:r>
      <w:r>
        <w:rPr>
          <w:rFonts w:ascii="Calibri" w:hAnsi="Calibri" w:cs="Calibri"/>
          <w:lang w:val="ro-RO"/>
        </w:rPr>
        <w:t>zurilor, admiterea/respingerea cererilor, clienții reprezentați etc, ceea ce nu se întâmplă în Europa, unde hotărârile judecătorești sunt anonimizate deoarece se consideră că altfel ar fi afectată imparțialitatea judecătorilor.</w:t>
      </w:r>
    </w:p>
    <w:p w14:paraId="278A3925" w14:textId="77777777" w:rsidR="00B447BA" w:rsidRDefault="004E01FB">
      <w:pPr>
        <w:pStyle w:val="Standard"/>
        <w:spacing w:line="360" w:lineRule="auto"/>
        <w:jc w:val="both"/>
      </w:pPr>
      <w:r>
        <w:rPr>
          <w:rFonts w:ascii="Calibri" w:hAnsi="Calibri" w:cs="Calibri"/>
          <w:lang w:val="ro-RO"/>
        </w:rPr>
        <w:lastRenderedPageBreak/>
        <w:t>În Franța există totuși o st</w:t>
      </w:r>
      <w:r>
        <w:rPr>
          <w:rFonts w:ascii="Calibri" w:hAnsi="Calibri" w:cs="Calibri"/>
          <w:lang w:val="ro-RO"/>
        </w:rPr>
        <w:t xml:space="preserve">atistică în cazul avocaților, în care sunt furnizate </w:t>
      </w:r>
      <w:proofErr w:type="spellStart"/>
      <w:r>
        <w:rPr>
          <w:rFonts w:ascii="Calibri" w:hAnsi="Calibri" w:cs="Calibri"/>
          <w:lang w:val="ro-RO"/>
        </w:rPr>
        <w:t>înformații</w:t>
      </w:r>
      <w:proofErr w:type="spellEnd"/>
      <w:r>
        <w:rPr>
          <w:rFonts w:ascii="Calibri" w:hAnsi="Calibri" w:cs="Calibri"/>
          <w:lang w:val="ro-RO"/>
        </w:rPr>
        <w:t xml:space="preserve"> referitoare la numărul și obiectul dosarelor gestionate, aria de practică și informații biografice</w:t>
      </w:r>
      <w:r>
        <w:rPr>
          <w:rStyle w:val="FootnoteReference"/>
          <w:rFonts w:ascii="Calibri" w:hAnsi="Calibri" w:cs="Calibri"/>
          <w:lang w:val="ro-RO"/>
        </w:rPr>
        <w:footnoteReference w:id="16"/>
      </w:r>
      <w:r>
        <w:rPr>
          <w:rFonts w:ascii="Calibri" w:hAnsi="Calibri" w:cs="Calibri"/>
          <w:lang w:val="ro-RO"/>
        </w:rPr>
        <w:t>.</w:t>
      </w:r>
    </w:p>
    <w:p w14:paraId="7CBEF63D" w14:textId="77777777" w:rsidR="00B447BA" w:rsidRDefault="004E01FB">
      <w:pPr>
        <w:pStyle w:val="Standard"/>
        <w:numPr>
          <w:ilvl w:val="0"/>
          <w:numId w:val="1"/>
        </w:numPr>
        <w:spacing w:line="360" w:lineRule="auto"/>
        <w:jc w:val="both"/>
      </w:pPr>
      <w:r>
        <w:rPr>
          <w:rFonts w:ascii="Calibri" w:hAnsi="Calibri" w:cs="Calibri"/>
          <w:b/>
          <w:bCs/>
          <w:u w:val="single"/>
          <w:lang w:val="ro-RO"/>
        </w:rPr>
        <w:t>Alte programe sunt deja în uzul avocaților,</w:t>
      </w:r>
      <w:r>
        <w:rPr>
          <w:rFonts w:ascii="Calibri" w:hAnsi="Calibri" w:cs="Calibri"/>
          <w:lang w:val="ro-RO"/>
        </w:rPr>
        <w:t xml:space="preserve"> precum cele care transformă discursul în text, cele ce simulează o </w:t>
      </w:r>
      <w:r>
        <w:rPr>
          <w:rFonts w:ascii="Calibri" w:hAnsi="Calibri" w:cs="Calibri"/>
          <w:lang w:val="ro-RO"/>
        </w:rPr>
        <w:t>discuție precum un utilizator uman, bineînțeles pe baza unui limbaj predefinit și programele utilizate de avocați cu scop administrativ, de monitorizare a timpului lucrat și a documentelor redactate. Aceste instrumente nu sunt utilizate frecvent de către s</w:t>
      </w:r>
      <w:r>
        <w:rPr>
          <w:rFonts w:ascii="Calibri" w:hAnsi="Calibri" w:cs="Calibri"/>
          <w:lang w:val="ro-RO"/>
        </w:rPr>
        <w:t xml:space="preserve">ocietățile mici de avocați/cabinetele individuale.                                                                                                                     </w:t>
      </w:r>
    </w:p>
    <w:p w14:paraId="44F96C09" w14:textId="77777777" w:rsidR="00B447BA" w:rsidRDefault="004E01FB">
      <w:pPr>
        <w:pStyle w:val="Standard"/>
        <w:spacing w:line="360" w:lineRule="auto"/>
        <w:jc w:val="both"/>
        <w:rPr>
          <w:rFonts w:ascii="Calibri" w:hAnsi="Calibri" w:cs="Calibri"/>
          <w:lang w:val="ro-RO"/>
        </w:rPr>
      </w:pPr>
      <w:r>
        <w:rPr>
          <w:rFonts w:ascii="Calibri" w:hAnsi="Calibri" w:cs="Calibri"/>
          <w:lang w:val="ro-RO"/>
        </w:rPr>
        <w:tab/>
      </w:r>
    </w:p>
    <w:p w14:paraId="2FB26213" w14:textId="77777777" w:rsidR="00B447BA" w:rsidRDefault="004E01FB">
      <w:pPr>
        <w:pStyle w:val="Standard"/>
        <w:spacing w:line="360" w:lineRule="auto"/>
        <w:jc w:val="both"/>
        <w:rPr>
          <w:rFonts w:ascii="Calibri" w:hAnsi="Calibri" w:cs="Calibri"/>
          <w:b/>
          <w:bCs/>
          <w:lang w:val="ro-RO"/>
        </w:rPr>
      </w:pPr>
      <w:r>
        <w:rPr>
          <w:rFonts w:ascii="Calibri" w:hAnsi="Calibri" w:cs="Calibri"/>
          <w:b/>
          <w:bCs/>
          <w:lang w:val="ro-RO"/>
        </w:rPr>
        <w:t>Capitolul 2- Avertismentele Consiliului Barourilor și Societăților de Drept din Europa</w:t>
      </w:r>
      <w:r>
        <w:rPr>
          <w:rFonts w:ascii="Calibri" w:hAnsi="Calibri" w:cs="Calibri"/>
          <w:b/>
          <w:bCs/>
          <w:lang w:val="ro-RO"/>
        </w:rPr>
        <w:t xml:space="preserve"> (CCBE) privind riscurile rezultate din utilizarea aplicațiilor IA de către avocați</w:t>
      </w:r>
    </w:p>
    <w:p w14:paraId="69692D58" w14:textId="77777777" w:rsidR="00B447BA" w:rsidRDefault="00B447BA">
      <w:pPr>
        <w:pStyle w:val="Standard"/>
        <w:spacing w:line="360" w:lineRule="auto"/>
        <w:jc w:val="both"/>
        <w:rPr>
          <w:rFonts w:ascii="Calibri" w:hAnsi="Calibri" w:cs="Calibri"/>
          <w:b/>
          <w:bCs/>
          <w:lang w:val="ro-RO"/>
        </w:rPr>
      </w:pPr>
    </w:p>
    <w:p w14:paraId="02FD7CE3" w14:textId="77777777" w:rsidR="00B447BA" w:rsidRDefault="004E01FB">
      <w:pPr>
        <w:pStyle w:val="Standard"/>
        <w:spacing w:line="360" w:lineRule="auto"/>
        <w:jc w:val="both"/>
      </w:pPr>
      <w:r>
        <w:rPr>
          <w:rFonts w:ascii="Calibri" w:hAnsi="Calibri" w:cs="Calibri"/>
          <w:lang w:val="ro-RO"/>
        </w:rPr>
        <w:tab/>
        <w:t>Ghidul prezintă o realitate a activității avocaților din prezent, în care sunt obligați să analizeze un volum din ce în ce mai mare de date, în același timp respectând ob</w:t>
      </w:r>
      <w:r>
        <w:rPr>
          <w:rFonts w:ascii="Calibri" w:hAnsi="Calibri" w:cs="Calibri"/>
          <w:lang w:val="ro-RO"/>
        </w:rPr>
        <w:t>ligațiile profesionale  prevăzute de Carta principiilor fundamentale</w:t>
      </w:r>
      <w:r>
        <w:rPr>
          <w:rStyle w:val="FootnoteReference"/>
          <w:rFonts w:ascii="Calibri" w:hAnsi="Calibri" w:cs="Calibri"/>
          <w:lang w:val="ro-RO"/>
        </w:rPr>
        <w:footnoteReference w:id="17"/>
      </w:r>
      <w:r>
        <w:rPr>
          <w:rFonts w:ascii="Calibri" w:hAnsi="Calibri" w:cs="Calibri"/>
          <w:lang w:val="ro-RO"/>
        </w:rPr>
        <w:t xml:space="preserve"> ale avocatulu</w:t>
      </w:r>
      <w:r>
        <w:rPr>
          <w:rFonts w:ascii="Calibri" w:hAnsi="Calibri" w:cs="Calibri"/>
          <w:lang w:val="ro-RO"/>
        </w:rPr>
        <w:t>i european a CCBE</w:t>
      </w:r>
      <w:r>
        <w:rPr>
          <w:rStyle w:val="FootnoteReference"/>
          <w:rFonts w:ascii="Calibri" w:hAnsi="Calibri" w:cs="Calibri"/>
          <w:lang w:val="ro-RO"/>
        </w:rPr>
        <w:footnoteReference w:id="18"/>
      </w:r>
      <w:r>
        <w:rPr>
          <w:rFonts w:ascii="Calibri" w:hAnsi="Calibri" w:cs="Calibri"/>
          <w:lang w:val="ro-RO"/>
        </w:rPr>
        <w:t xml:space="preserve"> și al C</w:t>
      </w:r>
      <w:r>
        <w:rPr>
          <w:rFonts w:ascii="Calibri" w:hAnsi="Calibri" w:cs="Calibri"/>
          <w:lang w:val="ro-RO"/>
        </w:rPr>
        <w:t>odului Deontologic al Avocaților din Uniunea Europeană și analizează riscurile</w:t>
      </w:r>
      <w:r>
        <w:rPr>
          <w:rStyle w:val="FootnoteReference"/>
          <w:rFonts w:ascii="Calibri" w:hAnsi="Calibri" w:cs="Calibri"/>
          <w:lang w:val="ro-RO"/>
        </w:rPr>
        <w:footnoteReference w:id="19"/>
      </w:r>
      <w:r>
        <w:rPr>
          <w:rFonts w:ascii="Calibri" w:hAnsi="Calibri" w:cs="Calibri"/>
          <w:lang w:val="ro-RO"/>
        </w:rPr>
        <w:t xml:space="preserve"> ce pot interveni din utilizarea instrumentelor IA:</w:t>
      </w:r>
    </w:p>
    <w:p w14:paraId="51ACC3DD" w14:textId="77777777" w:rsidR="00B447BA" w:rsidRDefault="004E01FB">
      <w:pPr>
        <w:pStyle w:val="Standard"/>
        <w:numPr>
          <w:ilvl w:val="0"/>
          <w:numId w:val="2"/>
        </w:numPr>
        <w:spacing w:line="360" w:lineRule="auto"/>
        <w:jc w:val="both"/>
      </w:pPr>
      <w:r>
        <w:rPr>
          <w:rFonts w:ascii="Calibri" w:hAnsi="Calibri" w:cs="Calibri"/>
          <w:b/>
          <w:bCs/>
          <w:u w:val="single"/>
          <w:lang w:val="ro-RO"/>
        </w:rPr>
        <w:t xml:space="preserve">Riscuri privind asigurarea </w:t>
      </w:r>
      <w:r>
        <w:rPr>
          <w:rFonts w:ascii="Calibri" w:hAnsi="Calibri" w:cs="Calibri"/>
          <w:b/>
          <w:bCs/>
          <w:u w:val="single"/>
          <w:lang w:val="ro-RO"/>
        </w:rPr>
        <w:t xml:space="preserve">confidențialității datelor clienților de către avocați, </w:t>
      </w:r>
      <w:r>
        <w:rPr>
          <w:rFonts w:ascii="Calibri" w:hAnsi="Calibri" w:cs="Calibri"/>
          <w:lang w:val="ro-RO"/>
        </w:rPr>
        <w:t>rezultate din administrarea infrastructurii IT a societăților de avocați de către un furnizor de servicii ”</w:t>
      </w:r>
      <w:proofErr w:type="spellStart"/>
      <w:r>
        <w:rPr>
          <w:rFonts w:ascii="Calibri" w:hAnsi="Calibri" w:cs="Calibri"/>
          <w:i/>
          <w:iCs/>
          <w:lang w:val="ro-RO"/>
        </w:rPr>
        <w:t>cloud</w:t>
      </w:r>
      <w:proofErr w:type="spellEnd"/>
      <w:r>
        <w:rPr>
          <w:rFonts w:ascii="Calibri" w:hAnsi="Calibri" w:cs="Calibri"/>
          <w:i/>
          <w:iCs/>
          <w:lang w:val="ro-RO"/>
        </w:rPr>
        <w:t xml:space="preserve"> </w:t>
      </w:r>
      <w:proofErr w:type="spellStart"/>
      <w:r>
        <w:rPr>
          <w:rFonts w:ascii="Calibri" w:hAnsi="Calibri" w:cs="Calibri"/>
          <w:i/>
          <w:iCs/>
          <w:lang w:val="ro-RO"/>
        </w:rPr>
        <w:t>computing</w:t>
      </w:r>
      <w:proofErr w:type="spellEnd"/>
      <w:r>
        <w:rPr>
          <w:rFonts w:ascii="Calibri" w:hAnsi="Calibri" w:cs="Calibri"/>
          <w:lang w:val="ro-RO"/>
        </w:rPr>
        <w:t xml:space="preserve">”, precum și utilizarea aplicațiilor IA, ce includ servere, rețele, software, </w:t>
      </w:r>
      <w:r>
        <w:rPr>
          <w:rFonts w:ascii="Calibri" w:hAnsi="Calibri" w:cs="Calibri"/>
          <w:lang w:val="ro-RO"/>
        </w:rPr>
        <w:t>analize, baze de date cu informațiile sensibile ale clienților.</w:t>
      </w:r>
    </w:p>
    <w:p w14:paraId="6BE2E65A" w14:textId="77777777" w:rsidR="00B447BA" w:rsidRDefault="004E01FB">
      <w:pPr>
        <w:pStyle w:val="Standard"/>
        <w:spacing w:line="360" w:lineRule="auto"/>
        <w:jc w:val="both"/>
      </w:pPr>
      <w:r>
        <w:rPr>
          <w:rFonts w:ascii="Calibri" w:hAnsi="Calibri" w:cs="Calibri"/>
          <w:lang w:val="ro-RO"/>
        </w:rPr>
        <w:t xml:space="preserve">Pe lângă riscurile legate de accesul facil al autorităților la datele clienților atunci când avocații </w:t>
      </w:r>
      <w:r>
        <w:rPr>
          <w:rFonts w:ascii="Calibri" w:hAnsi="Calibri" w:cs="Calibri"/>
          <w:lang w:val="ro-RO"/>
        </w:rPr>
        <w:lastRenderedPageBreak/>
        <w:t xml:space="preserve">utilizează servicii de </w:t>
      </w:r>
      <w:proofErr w:type="spellStart"/>
      <w:r>
        <w:rPr>
          <w:rFonts w:ascii="Calibri" w:hAnsi="Calibri" w:cs="Calibri"/>
          <w:lang w:val="ro-RO"/>
        </w:rPr>
        <w:t>cloud</w:t>
      </w:r>
      <w:proofErr w:type="spellEnd"/>
      <w:r>
        <w:rPr>
          <w:rFonts w:ascii="Calibri" w:hAnsi="Calibri" w:cs="Calibri"/>
          <w:lang w:val="ro-RO"/>
        </w:rPr>
        <w:t xml:space="preserve"> </w:t>
      </w:r>
      <w:proofErr w:type="spellStart"/>
      <w:r>
        <w:rPr>
          <w:rFonts w:ascii="Calibri" w:hAnsi="Calibri" w:cs="Calibri"/>
          <w:lang w:val="ro-RO"/>
        </w:rPr>
        <w:t>computing</w:t>
      </w:r>
      <w:proofErr w:type="spellEnd"/>
      <w:r>
        <w:rPr>
          <w:rFonts w:ascii="Calibri" w:hAnsi="Calibri" w:cs="Calibri"/>
          <w:lang w:val="ro-RO"/>
        </w:rPr>
        <w:t xml:space="preserve"> există și riscuri specifice rezultate din reutiliza</w:t>
      </w:r>
      <w:r>
        <w:rPr>
          <w:rFonts w:ascii="Calibri" w:hAnsi="Calibri" w:cs="Calibri"/>
          <w:lang w:val="ro-RO"/>
        </w:rPr>
        <w:t xml:space="preserve">rea datelor de către furnizorii de servicii în </w:t>
      </w:r>
      <w:proofErr w:type="spellStart"/>
      <w:r>
        <w:rPr>
          <w:rFonts w:ascii="Calibri" w:hAnsi="Calibri" w:cs="Calibri"/>
          <w:lang w:val="ro-RO"/>
        </w:rPr>
        <w:t>cloud</w:t>
      </w:r>
      <w:proofErr w:type="spellEnd"/>
      <w:r>
        <w:rPr>
          <w:rFonts w:ascii="Calibri" w:hAnsi="Calibri" w:cs="Calibri"/>
          <w:lang w:val="ro-RO"/>
        </w:rPr>
        <w:t>, aspecte ce nu sunt pe deplin lămurite cu aceștia. Asigurarea confidențialității datelor clienților nu constituie doar o problemă tehnică ci și una de avantaj strategic pentru avocați atunci când își ale</w:t>
      </w:r>
      <w:r>
        <w:rPr>
          <w:rFonts w:ascii="Calibri" w:hAnsi="Calibri" w:cs="Calibri"/>
          <w:lang w:val="ro-RO"/>
        </w:rPr>
        <w:t>g instrumentele  și arhitectura IT. Noile progrese în materie de securitate cibernetică au demonstrat faptul că uneori clienții sunt mai bine protejați dacă activitatea lor rămâne complet ”</w:t>
      </w:r>
      <w:r>
        <w:rPr>
          <w:rFonts w:ascii="Calibri" w:hAnsi="Calibri" w:cs="Calibri"/>
          <w:i/>
          <w:iCs/>
          <w:lang w:val="ro-RO"/>
        </w:rPr>
        <w:t>offline</w:t>
      </w:r>
      <w:r>
        <w:rPr>
          <w:rFonts w:ascii="Calibri" w:hAnsi="Calibri" w:cs="Calibri"/>
          <w:lang w:val="ro-RO"/>
        </w:rPr>
        <w:t>”, în ciuda promisiunilor companiilor IT.</w:t>
      </w:r>
    </w:p>
    <w:p w14:paraId="7AABFF35" w14:textId="77777777" w:rsidR="00B447BA" w:rsidRDefault="004E01FB">
      <w:pPr>
        <w:pStyle w:val="Standard"/>
        <w:numPr>
          <w:ilvl w:val="0"/>
          <w:numId w:val="2"/>
        </w:numPr>
        <w:spacing w:line="360" w:lineRule="auto"/>
        <w:jc w:val="both"/>
      </w:pPr>
      <w:r>
        <w:rPr>
          <w:rFonts w:ascii="Calibri" w:hAnsi="Calibri" w:cs="Calibri"/>
          <w:b/>
          <w:bCs/>
          <w:u w:val="single"/>
          <w:lang w:val="ro-RO"/>
        </w:rPr>
        <w:t xml:space="preserve">Riscuri rezultând </w:t>
      </w:r>
      <w:r>
        <w:rPr>
          <w:rFonts w:ascii="Calibri" w:hAnsi="Calibri" w:cs="Calibri"/>
          <w:b/>
          <w:bCs/>
          <w:u w:val="single"/>
          <w:lang w:val="ro-RO"/>
        </w:rPr>
        <w:t>din lipsa de transparență a producătorilor de aplicații IA pentru avocați</w:t>
      </w:r>
      <w:r>
        <w:rPr>
          <w:rFonts w:ascii="Calibri" w:hAnsi="Calibri" w:cs="Calibri"/>
          <w:lang w:val="ro-RO"/>
        </w:rPr>
        <w:t>, deoarece aceștia nu informează avocații despre limitele produselor promovate și despre fragilitatea sistemului IA. Aplicațiile IA funcționează eficient doar în parametrii unui model</w:t>
      </w:r>
      <w:r>
        <w:rPr>
          <w:rFonts w:ascii="Calibri" w:hAnsi="Calibri" w:cs="Calibri"/>
          <w:lang w:val="ro-RO"/>
        </w:rPr>
        <w:t xml:space="preserve"> setat, ce corespunde datelor introduse dintr-o anumită perioadă. Aplicațiilor IA nu pot oferi soluții în afara modelului prestat astfel că nu se poate adapta de exemplu schimbărilor economice.</w:t>
      </w:r>
    </w:p>
    <w:p w14:paraId="336A7F7A" w14:textId="77777777" w:rsidR="00B447BA" w:rsidRDefault="004E01FB">
      <w:pPr>
        <w:pStyle w:val="Standard"/>
        <w:numPr>
          <w:ilvl w:val="0"/>
          <w:numId w:val="2"/>
        </w:numPr>
        <w:spacing w:line="360" w:lineRule="auto"/>
        <w:jc w:val="both"/>
      </w:pPr>
      <w:r>
        <w:rPr>
          <w:rFonts w:ascii="Calibri" w:hAnsi="Calibri" w:cs="Calibri"/>
          <w:b/>
          <w:bCs/>
          <w:u w:val="single"/>
          <w:lang w:val="ro-RO"/>
        </w:rPr>
        <w:t>Riscuri legate de dificultatea asigurării clientului a unei co</w:t>
      </w:r>
      <w:r>
        <w:rPr>
          <w:rFonts w:ascii="Calibri" w:hAnsi="Calibri" w:cs="Calibri"/>
          <w:b/>
          <w:bCs/>
          <w:u w:val="single"/>
          <w:lang w:val="ro-RO"/>
        </w:rPr>
        <w:t>mpetențe profesionale adecvate de către avocat</w:t>
      </w:r>
      <w:r>
        <w:rPr>
          <w:rStyle w:val="FootnoteReference"/>
          <w:rFonts w:ascii="Calibri" w:hAnsi="Calibri" w:cs="Calibri"/>
          <w:b/>
          <w:bCs/>
          <w:u w:val="single"/>
          <w:lang w:val="ro-RO"/>
        </w:rPr>
        <w:footnoteReference w:id="20"/>
      </w:r>
      <w:r>
        <w:rPr>
          <w:rFonts w:ascii="Calibri" w:hAnsi="Calibri" w:cs="Calibri"/>
          <w:b/>
          <w:bCs/>
          <w:u w:val="single"/>
          <w:lang w:val="ro-RO"/>
        </w:rPr>
        <w:t>, rezultate din preluarea de către acesta a datelor furnizate</w:t>
      </w:r>
      <w:r>
        <w:rPr>
          <w:rFonts w:ascii="Calibri" w:hAnsi="Calibri" w:cs="Calibri"/>
          <w:b/>
          <w:bCs/>
          <w:u w:val="single"/>
          <w:lang w:val="ro-RO"/>
        </w:rPr>
        <w:t xml:space="preserve"> de către aplicațiile IA fără a le interpreta sau fără a explica de ce predicțiile furnizate nu se aplică unui caz specific.</w:t>
      </w:r>
      <w:r>
        <w:rPr>
          <w:rFonts w:ascii="Calibri" w:hAnsi="Calibri" w:cs="Calibri"/>
          <w:b/>
          <w:bCs/>
          <w:lang w:val="ro-RO"/>
        </w:rPr>
        <w:t xml:space="preserve"> </w:t>
      </w:r>
      <w:r>
        <w:rPr>
          <w:rFonts w:ascii="Calibri" w:hAnsi="Calibri" w:cs="Calibri"/>
          <w:lang w:val="ro-RO"/>
        </w:rPr>
        <w:t xml:space="preserve"> O societate de avocați tradițională încă presupune o înțelegere umană a ceea ce necesită clienții, ceea ce nu este întotdeauna cu </w:t>
      </w:r>
      <w:r>
        <w:rPr>
          <w:rFonts w:ascii="Calibri" w:hAnsi="Calibri" w:cs="Calibri"/>
          <w:lang w:val="ro-RO"/>
        </w:rPr>
        <w:t>ceea ce clienții doresc. Deși instrumentele IA pot să ajute la multiplicarea  volumului de muncă a unei mici societăți de avocați/cabinet individual totuși nu pot fi depășite barierele umane rezultate din valorificarea a unui număr limitat de ore de muncă.</w:t>
      </w:r>
      <w:r>
        <w:rPr>
          <w:rFonts w:ascii="Calibri" w:hAnsi="Calibri" w:cs="Calibri"/>
          <w:lang w:val="ro-RO"/>
        </w:rPr>
        <w:t xml:space="preserve"> Aceasta constituie diferența dintre o companie care oferă servicii juridice standardizate și modelul tradițional de a oferi servicii juridice. Ghidul concluzionează</w:t>
      </w:r>
      <w:r>
        <w:rPr>
          <w:rStyle w:val="FootnoteReference"/>
          <w:rFonts w:ascii="Calibri" w:hAnsi="Calibri" w:cs="Calibri"/>
          <w:lang w:val="ro-RO"/>
        </w:rPr>
        <w:footnoteReference w:id="21"/>
      </w:r>
      <w:r>
        <w:rPr>
          <w:rFonts w:ascii="Calibri" w:hAnsi="Calibri" w:cs="Calibri"/>
          <w:lang w:val="ro-RO"/>
        </w:rPr>
        <w:t xml:space="preserve"> că o ca</w:t>
      </w:r>
      <w:r>
        <w:rPr>
          <w:rFonts w:ascii="Calibri" w:hAnsi="Calibri" w:cs="Calibri"/>
          <w:lang w:val="ro-RO"/>
        </w:rPr>
        <w:t xml:space="preserve">pacitate sporită de analiză a informației de către avocați nu este echivalentă cu o calitate superioară a muncii acestora, cu un grad de probabilitate mai ridicat de succes în promovarea unui litigiu și nici cu </w:t>
      </w:r>
      <w:proofErr w:type="spellStart"/>
      <w:r>
        <w:rPr>
          <w:rFonts w:ascii="Calibri" w:hAnsi="Calibri" w:cs="Calibri"/>
          <w:lang w:val="ro-RO"/>
        </w:rPr>
        <w:t>informizarea</w:t>
      </w:r>
      <w:proofErr w:type="spellEnd"/>
      <w:r>
        <w:rPr>
          <w:rFonts w:ascii="Calibri" w:hAnsi="Calibri" w:cs="Calibri"/>
          <w:lang w:val="ro-RO"/>
        </w:rPr>
        <w:t xml:space="preserve"> practicii judiciare.</w:t>
      </w:r>
    </w:p>
    <w:p w14:paraId="17A94277" w14:textId="77777777" w:rsidR="00B447BA" w:rsidRDefault="00B447BA">
      <w:pPr>
        <w:pStyle w:val="Standard"/>
        <w:spacing w:line="360" w:lineRule="auto"/>
        <w:jc w:val="both"/>
        <w:rPr>
          <w:rFonts w:ascii="Calibri" w:hAnsi="Calibri" w:cs="Calibri"/>
          <w:lang w:val="ro-RO"/>
        </w:rPr>
      </w:pPr>
    </w:p>
    <w:p w14:paraId="53678C39" w14:textId="77777777" w:rsidR="00B447BA" w:rsidRDefault="004E01FB">
      <w:pPr>
        <w:pStyle w:val="Standard"/>
        <w:spacing w:line="360" w:lineRule="auto"/>
        <w:jc w:val="both"/>
      </w:pPr>
      <w:r>
        <w:rPr>
          <w:rFonts w:ascii="Calibri" w:hAnsi="Calibri" w:cs="Calibri"/>
          <w:lang w:val="ro-RO"/>
        </w:rPr>
        <w:t>De altfel,</w:t>
      </w:r>
      <w:r>
        <w:rPr>
          <w:rFonts w:ascii="Calibri" w:hAnsi="Calibri" w:cs="Calibri"/>
          <w:lang w:val="ro-RO"/>
        </w:rPr>
        <w:t xml:space="preserve"> Regulamentul general privind protecția datelor</w:t>
      </w:r>
      <w:r>
        <w:rPr>
          <w:rStyle w:val="FootnoteReference"/>
          <w:rFonts w:ascii="Calibri" w:hAnsi="Calibri" w:cs="Calibri"/>
          <w:lang w:val="ro-RO"/>
        </w:rPr>
        <w:footnoteReference w:id="22"/>
      </w:r>
      <w:r>
        <w:rPr>
          <w:rFonts w:ascii="Calibri" w:hAnsi="Calibri" w:cs="Calibri"/>
          <w:lang w:val="ro-RO"/>
        </w:rPr>
        <w:t xml:space="preserve"> prevede că o persoană are dreptul </w:t>
      </w:r>
      <w:r>
        <w:rPr>
          <w:rFonts w:ascii="Calibri" w:hAnsi="Calibri" w:cs="Calibri"/>
          <w:lang w:val="ro-RO"/>
        </w:rPr>
        <w:t xml:space="preserve">de a </w:t>
      </w:r>
      <w:r>
        <w:rPr>
          <w:rFonts w:ascii="Calibri" w:hAnsi="Calibri" w:cs="Calibri"/>
          <w:lang w:val="ro-RO"/>
        </w:rPr>
        <w:lastRenderedPageBreak/>
        <w:t>nu face obiectul unei decizii bazate exclusiv pe prelucrare automată (cu unele excepții), astfel că nici avocații nu pot consilia un client privind soluționarea unui dosar exclusiv în urma predicțiilor oferite de aplicațiile IA.</w:t>
      </w:r>
    </w:p>
    <w:p w14:paraId="467B3B00" w14:textId="77777777" w:rsidR="00B447BA" w:rsidRDefault="004E01FB">
      <w:pPr>
        <w:pStyle w:val="Standard"/>
        <w:numPr>
          <w:ilvl w:val="0"/>
          <w:numId w:val="2"/>
        </w:numPr>
        <w:spacing w:line="360" w:lineRule="auto"/>
        <w:jc w:val="both"/>
      </w:pPr>
      <w:r>
        <w:rPr>
          <w:rFonts w:ascii="Calibri" w:hAnsi="Calibri" w:cs="Calibri"/>
          <w:b/>
          <w:bCs/>
          <w:u w:val="single"/>
          <w:lang w:val="ro-RO"/>
        </w:rPr>
        <w:t>Riscuri de natură să a</w:t>
      </w:r>
      <w:r>
        <w:rPr>
          <w:rFonts w:ascii="Calibri" w:hAnsi="Calibri" w:cs="Calibri"/>
          <w:b/>
          <w:bCs/>
          <w:u w:val="single"/>
          <w:lang w:val="ro-RO"/>
        </w:rPr>
        <w:t>fecteze independența avocatului, rezultate din acceptarea fără informare asupra riscurilor a termenelor și condițiilor aplicațiilor IA</w:t>
      </w:r>
      <w:r>
        <w:rPr>
          <w:rFonts w:ascii="Calibri" w:hAnsi="Calibri" w:cs="Calibri"/>
          <w:u w:val="single"/>
          <w:lang w:val="ro-RO"/>
        </w:rPr>
        <w:t xml:space="preserve">, </w:t>
      </w:r>
      <w:r>
        <w:rPr>
          <w:rFonts w:ascii="Calibri" w:hAnsi="Calibri" w:cs="Calibri"/>
          <w:lang w:val="ro-RO"/>
        </w:rPr>
        <w:t xml:space="preserve"> similare celor descrise în Ghidul CCBE privind utilizarea platformelor online de către avocați</w:t>
      </w:r>
      <w:r>
        <w:rPr>
          <w:rStyle w:val="FootnoteReference"/>
          <w:rFonts w:ascii="Calibri" w:hAnsi="Calibri" w:cs="Calibri"/>
          <w:lang w:val="ro-RO"/>
        </w:rPr>
        <w:footnoteReference w:id="23"/>
      </w:r>
      <w:r>
        <w:rPr>
          <w:rFonts w:ascii="Calibri" w:hAnsi="Calibri" w:cs="Calibri"/>
          <w:lang w:val="ro-RO"/>
        </w:rPr>
        <w:t>.</w:t>
      </w:r>
    </w:p>
    <w:p w14:paraId="0093561B" w14:textId="77777777" w:rsidR="00B447BA" w:rsidRDefault="004E01FB">
      <w:pPr>
        <w:pStyle w:val="Standard"/>
        <w:spacing w:line="360" w:lineRule="auto"/>
        <w:jc w:val="both"/>
      </w:pPr>
      <w:r>
        <w:rPr>
          <w:rFonts w:ascii="Calibri" w:hAnsi="Calibri" w:cs="Calibri"/>
          <w:lang w:val="ro-RO"/>
        </w:rPr>
        <w:tab/>
        <w:t xml:space="preserve">La acestea Raportul European </w:t>
      </w:r>
      <w:proofErr w:type="spellStart"/>
      <w:r>
        <w:rPr>
          <w:rFonts w:ascii="Calibri" w:hAnsi="Calibri" w:cs="Calibri"/>
          <w:lang w:val="ro-RO"/>
        </w:rPr>
        <w:t>Lawyers</w:t>
      </w:r>
      <w:proofErr w:type="spellEnd"/>
      <w:r>
        <w:rPr>
          <w:rFonts w:ascii="Calibri" w:hAnsi="Calibri" w:cs="Calibri"/>
          <w:lang w:val="ro-RO"/>
        </w:rPr>
        <w:t xml:space="preserve"> Foundation</w:t>
      </w:r>
      <w:r>
        <w:rPr>
          <w:rStyle w:val="FootnoteReference"/>
          <w:rFonts w:ascii="Calibri" w:hAnsi="Calibri" w:cs="Calibri"/>
          <w:lang w:val="ro-RO"/>
        </w:rPr>
        <w:footnoteReference w:id="24"/>
      </w:r>
      <w:r>
        <w:rPr>
          <w:rFonts w:ascii="Calibri" w:hAnsi="Calibri" w:cs="Calibri"/>
          <w:lang w:val="ro-RO"/>
        </w:rPr>
        <w:t xml:space="preserve"> mai adaugă câteva </w:t>
      </w:r>
      <w:r>
        <w:rPr>
          <w:rFonts w:ascii="Calibri" w:hAnsi="Calibri" w:cs="Calibri"/>
          <w:b/>
          <w:bCs/>
          <w:lang w:val="ro-RO"/>
        </w:rPr>
        <w:t>riscuri</w:t>
      </w:r>
      <w:r>
        <w:rPr>
          <w:rFonts w:ascii="Calibri" w:hAnsi="Calibri" w:cs="Calibri"/>
          <w:lang w:val="ro-RO"/>
        </w:rPr>
        <w:t xml:space="preserve"> rezultate din </w:t>
      </w:r>
      <w:r>
        <w:rPr>
          <w:rFonts w:ascii="Calibri" w:hAnsi="Calibri" w:cs="Calibri"/>
          <w:lang w:val="ro-RO"/>
        </w:rPr>
        <w:t>introducerea instrumentelor IA în activitatea instanțelor și parchetelor:</w:t>
      </w:r>
    </w:p>
    <w:p w14:paraId="2F5AFAE3" w14:textId="77777777" w:rsidR="00B447BA" w:rsidRDefault="004E01FB">
      <w:pPr>
        <w:pStyle w:val="Standard"/>
        <w:numPr>
          <w:ilvl w:val="0"/>
          <w:numId w:val="3"/>
        </w:numPr>
        <w:spacing w:line="360" w:lineRule="auto"/>
        <w:jc w:val="both"/>
      </w:pPr>
      <w:r>
        <w:rPr>
          <w:rFonts w:ascii="Calibri" w:hAnsi="Calibri" w:cs="Calibri"/>
          <w:lang w:val="ro-RO"/>
        </w:rPr>
        <w:t xml:space="preserve">utilizarea unor date ce </w:t>
      </w:r>
      <w:r>
        <w:rPr>
          <w:rFonts w:ascii="Calibri" w:hAnsi="Calibri" w:cs="Calibri"/>
          <w:b/>
          <w:bCs/>
          <w:lang w:val="ro-RO"/>
        </w:rPr>
        <w:t>nu au fost supuse dezbaterii contradictorii a părților</w:t>
      </w:r>
      <w:r>
        <w:rPr>
          <w:rFonts w:ascii="Calibri" w:hAnsi="Calibri" w:cs="Calibri"/>
          <w:lang w:val="ro-RO"/>
        </w:rPr>
        <w:t>;</w:t>
      </w:r>
    </w:p>
    <w:p w14:paraId="5057AF55" w14:textId="77777777" w:rsidR="00B447BA" w:rsidRDefault="004E01FB">
      <w:pPr>
        <w:pStyle w:val="Standard"/>
        <w:numPr>
          <w:ilvl w:val="0"/>
          <w:numId w:val="3"/>
        </w:numPr>
        <w:spacing w:line="360" w:lineRule="auto"/>
        <w:jc w:val="both"/>
      </w:pPr>
      <w:r>
        <w:rPr>
          <w:rFonts w:ascii="Calibri" w:hAnsi="Calibri" w:cs="Calibri"/>
          <w:lang w:val="ro-RO"/>
        </w:rPr>
        <w:t xml:space="preserve">preluarea în hotărârile judecătorești a unor </w:t>
      </w:r>
      <w:r>
        <w:rPr>
          <w:rFonts w:ascii="Calibri" w:hAnsi="Calibri" w:cs="Calibri"/>
          <w:b/>
          <w:bCs/>
          <w:lang w:val="ro-RO"/>
        </w:rPr>
        <w:t>raționamente ce nu au fost dezvoltate de un judecător</w:t>
      </w:r>
      <w:r>
        <w:rPr>
          <w:rFonts w:ascii="Calibri" w:hAnsi="Calibri" w:cs="Calibri"/>
          <w:lang w:val="ro-RO"/>
        </w:rPr>
        <w:t>, ce</w:t>
      </w:r>
      <w:r>
        <w:rPr>
          <w:rFonts w:ascii="Calibri" w:hAnsi="Calibri" w:cs="Calibri"/>
          <w:lang w:val="ro-RO"/>
        </w:rPr>
        <w:t>ea ce implică transferul parțial de putere către instrumentele IA;</w:t>
      </w:r>
    </w:p>
    <w:p w14:paraId="4EEE1F31" w14:textId="77777777" w:rsidR="00B447BA" w:rsidRDefault="004E01FB">
      <w:pPr>
        <w:pStyle w:val="Standard"/>
        <w:numPr>
          <w:ilvl w:val="0"/>
          <w:numId w:val="3"/>
        </w:numPr>
        <w:spacing w:line="360" w:lineRule="auto"/>
        <w:jc w:val="both"/>
      </w:pPr>
      <w:r>
        <w:rPr>
          <w:rFonts w:ascii="Calibri" w:hAnsi="Calibri" w:cs="Calibri"/>
          <w:b/>
          <w:bCs/>
          <w:lang w:val="ro-RO"/>
        </w:rPr>
        <w:t>lipsa de transparență a procesului deliberării instanței,</w:t>
      </w:r>
      <w:r>
        <w:rPr>
          <w:rFonts w:ascii="Calibri" w:hAnsi="Calibri" w:cs="Calibri"/>
          <w:lang w:val="ro-RO"/>
        </w:rPr>
        <w:t xml:space="preserve"> deoarece nu va putea fi stabilită o delimitare între argumentele rezultate din utilizarea aplicațiilor IA și a celor atribuite jude</w:t>
      </w:r>
      <w:r>
        <w:rPr>
          <w:rFonts w:ascii="Calibri" w:hAnsi="Calibri" w:cs="Calibri"/>
          <w:lang w:val="ro-RO"/>
        </w:rPr>
        <w:t>cătorului;</w:t>
      </w:r>
    </w:p>
    <w:p w14:paraId="202F6BBA" w14:textId="77777777" w:rsidR="00B447BA" w:rsidRDefault="004E01FB">
      <w:pPr>
        <w:pStyle w:val="Standard"/>
        <w:numPr>
          <w:ilvl w:val="0"/>
          <w:numId w:val="3"/>
        </w:numPr>
        <w:spacing w:line="360" w:lineRule="auto"/>
        <w:jc w:val="both"/>
      </w:pPr>
      <w:r>
        <w:rPr>
          <w:rFonts w:ascii="Calibri" w:hAnsi="Calibri" w:cs="Calibri"/>
          <w:b/>
          <w:bCs/>
          <w:lang w:val="ro-RO"/>
        </w:rPr>
        <w:t>încălcarea principiului egalității armelor,</w:t>
      </w:r>
      <w:r>
        <w:rPr>
          <w:rFonts w:ascii="Calibri" w:hAnsi="Calibri" w:cs="Calibri"/>
          <w:lang w:val="ro-RO"/>
        </w:rPr>
        <w:t xml:space="preserve"> deoarece unitățile de parchet ar putea beneficia de programe capabile să analizeze un volum imens de date, ceea ce nu este accesibil și apărării, și astfel s-ar crea un dezechilibru semnificativ între </w:t>
      </w:r>
      <w:r>
        <w:rPr>
          <w:rFonts w:ascii="Calibri" w:hAnsi="Calibri" w:cs="Calibri"/>
          <w:lang w:val="ro-RO"/>
        </w:rPr>
        <w:t>apărare și acuzare;</w:t>
      </w:r>
    </w:p>
    <w:p w14:paraId="564478A4" w14:textId="77777777" w:rsidR="00B447BA" w:rsidRDefault="004E01FB">
      <w:pPr>
        <w:pStyle w:val="Standard"/>
        <w:numPr>
          <w:ilvl w:val="0"/>
          <w:numId w:val="3"/>
        </w:numPr>
        <w:spacing w:line="360" w:lineRule="auto"/>
        <w:jc w:val="both"/>
      </w:pPr>
      <w:r>
        <w:rPr>
          <w:rFonts w:ascii="Calibri" w:hAnsi="Calibri" w:cs="Calibri"/>
          <w:b/>
          <w:bCs/>
          <w:lang w:val="ro-RO"/>
        </w:rPr>
        <w:t xml:space="preserve">lipsa de obiectivitate </w:t>
      </w:r>
      <w:r>
        <w:rPr>
          <w:rFonts w:ascii="Calibri" w:hAnsi="Calibri" w:cs="Calibri"/>
          <w:lang w:val="ro-RO"/>
        </w:rPr>
        <w:t>a rezultatelor generate de aplicațiile IA, deoarece nu poate fi cunoscută doza de subiectivism a producătorului aplicațiilor IA prin introducerea doar a unui anumit tip de date ce furnizează un anume rezultat la c</w:t>
      </w:r>
      <w:r>
        <w:rPr>
          <w:rFonts w:ascii="Calibri" w:hAnsi="Calibri" w:cs="Calibri"/>
          <w:lang w:val="ro-RO"/>
        </w:rPr>
        <w:t>ăutare, de exemplu;</w:t>
      </w:r>
    </w:p>
    <w:p w14:paraId="1BD4FCA7" w14:textId="77777777" w:rsidR="00B447BA" w:rsidRDefault="004E01FB">
      <w:pPr>
        <w:pStyle w:val="Standard"/>
        <w:numPr>
          <w:ilvl w:val="0"/>
          <w:numId w:val="3"/>
        </w:numPr>
        <w:spacing w:line="360" w:lineRule="auto"/>
        <w:jc w:val="both"/>
      </w:pPr>
      <w:r>
        <w:rPr>
          <w:rFonts w:ascii="Calibri" w:hAnsi="Calibri" w:cs="Calibri"/>
          <w:b/>
          <w:bCs/>
          <w:lang w:val="ro-RO"/>
        </w:rPr>
        <w:t>încălcarea dreptului la apărare și a dreptului la un proces echitabil,</w:t>
      </w:r>
      <w:r>
        <w:rPr>
          <w:rFonts w:ascii="Calibri" w:hAnsi="Calibri" w:cs="Calibri"/>
          <w:lang w:val="ro-RO"/>
        </w:rPr>
        <w:t xml:space="preserve"> rezultate din lipsa de </w:t>
      </w:r>
      <w:proofErr w:type="spellStart"/>
      <w:r>
        <w:rPr>
          <w:rFonts w:ascii="Calibri" w:hAnsi="Calibri" w:cs="Calibri"/>
          <w:lang w:val="ro-RO"/>
        </w:rPr>
        <w:t>explicabilitate</w:t>
      </w:r>
      <w:proofErr w:type="spellEnd"/>
      <w:r>
        <w:rPr>
          <w:rFonts w:ascii="Calibri" w:hAnsi="Calibri" w:cs="Calibri"/>
          <w:lang w:val="ro-RO"/>
        </w:rPr>
        <w:t xml:space="preserve"> a procesului de furnizare a unui anumit rezultat (de exemplu probabilitatea de recidivă), și faptul că nu poate fi contestat ș</w:t>
      </w:r>
      <w:r>
        <w:rPr>
          <w:rFonts w:ascii="Calibri" w:hAnsi="Calibri" w:cs="Calibri"/>
          <w:lang w:val="ro-RO"/>
        </w:rPr>
        <w:t xml:space="preserve">i procesul automat de selectare a unui anumit </w:t>
      </w:r>
      <w:r>
        <w:rPr>
          <w:rFonts w:ascii="Calibri" w:hAnsi="Calibri" w:cs="Calibri"/>
          <w:lang w:val="ro-RO"/>
        </w:rPr>
        <w:lastRenderedPageBreak/>
        <w:t>rezultat. Acesta nu este specific sistemelor de drept continental, în care algoritmii nu evaluează niciun aspect al procesului.</w:t>
      </w:r>
    </w:p>
    <w:p w14:paraId="54ED5AAC" w14:textId="77777777" w:rsidR="00B447BA" w:rsidRDefault="00B447BA">
      <w:pPr>
        <w:pStyle w:val="Standard"/>
        <w:spacing w:line="360" w:lineRule="auto"/>
        <w:jc w:val="both"/>
        <w:rPr>
          <w:rFonts w:ascii="Calibri" w:hAnsi="Calibri" w:cs="Calibri"/>
          <w:b/>
          <w:bCs/>
          <w:lang w:val="ro-RO"/>
        </w:rPr>
      </w:pPr>
    </w:p>
    <w:p w14:paraId="30BC67AE" w14:textId="77777777" w:rsidR="00B447BA" w:rsidRDefault="004E01FB">
      <w:pPr>
        <w:pStyle w:val="Standard"/>
        <w:spacing w:line="360" w:lineRule="auto"/>
        <w:jc w:val="both"/>
        <w:rPr>
          <w:rFonts w:ascii="Calibri" w:hAnsi="Calibri" w:cs="Calibri"/>
          <w:b/>
          <w:bCs/>
          <w:lang w:val="ro-RO"/>
        </w:rPr>
      </w:pPr>
      <w:r>
        <w:rPr>
          <w:rFonts w:ascii="Calibri" w:hAnsi="Calibri" w:cs="Calibri"/>
          <w:b/>
          <w:bCs/>
          <w:lang w:val="ro-RO"/>
        </w:rPr>
        <w:t>Capitolul 3 – Concluzii privind tendințele actuale de digitalizare în România</w:t>
      </w:r>
    </w:p>
    <w:p w14:paraId="46E246F7" w14:textId="77777777" w:rsidR="00B447BA" w:rsidRDefault="00B447BA">
      <w:pPr>
        <w:pStyle w:val="Standard"/>
        <w:spacing w:line="360" w:lineRule="auto"/>
        <w:jc w:val="both"/>
        <w:rPr>
          <w:rFonts w:ascii="Calibri" w:hAnsi="Calibri" w:cs="Calibri"/>
          <w:b/>
          <w:bCs/>
          <w:lang w:val="ro-RO"/>
        </w:rPr>
      </w:pPr>
    </w:p>
    <w:p w14:paraId="71C959E1" w14:textId="77777777" w:rsidR="00B447BA" w:rsidRDefault="004E01FB">
      <w:pPr>
        <w:pStyle w:val="Standard"/>
        <w:spacing w:line="360" w:lineRule="auto"/>
        <w:jc w:val="both"/>
      </w:pPr>
      <w:r>
        <w:rPr>
          <w:rFonts w:ascii="Calibri" w:hAnsi="Calibri" w:cs="Calibri"/>
          <w:lang w:val="ro-RO"/>
        </w:rPr>
        <w:tab/>
      </w:r>
      <w:r>
        <w:rPr>
          <w:rFonts w:ascii="Calibri" w:hAnsi="Calibri" w:cs="Calibri"/>
          <w:lang w:val="ro-RO"/>
        </w:rPr>
        <w:t>În Planul Național de Redresare și Reziliență al României este prevăzut un buget total de 2.558,63 mil de euro în cadrul componentei C9 - Suport pentru sectorul privat, cercetare, dezvoltare și inovare</w:t>
      </w:r>
      <w:r>
        <w:rPr>
          <w:rStyle w:val="FootnoteReference"/>
          <w:rFonts w:ascii="Calibri" w:hAnsi="Calibri" w:cs="Calibri"/>
          <w:lang w:val="ro-RO"/>
        </w:rPr>
        <w:footnoteReference w:id="25"/>
      </w:r>
      <w:r>
        <w:rPr>
          <w:rFonts w:ascii="Calibri" w:hAnsi="Calibri" w:cs="Calibri"/>
          <w:lang w:val="ro-RO"/>
        </w:rPr>
        <w:t xml:space="preserve"> pentru un total de 5.400 de contracte de finanțare prin schema de ajutor de stat pentru digitalizarea IMM-urilor și </w:t>
      </w:r>
      <w:r>
        <w:rPr>
          <w:rFonts w:ascii="Calibri" w:hAnsi="Calibri" w:cs="Calibri"/>
          <w:lang w:val="ro-RO"/>
        </w:rPr>
        <w:t>transformare digitală și tehnologică.</w:t>
      </w:r>
    </w:p>
    <w:p w14:paraId="5489F902" w14:textId="77777777" w:rsidR="00B447BA" w:rsidRDefault="004E01FB">
      <w:pPr>
        <w:pStyle w:val="Standard"/>
        <w:spacing w:line="360" w:lineRule="auto"/>
        <w:jc w:val="both"/>
        <w:rPr>
          <w:rFonts w:ascii="Calibri" w:hAnsi="Calibri" w:cs="Calibri"/>
          <w:lang w:val="ro-RO"/>
        </w:rPr>
      </w:pPr>
      <w:r>
        <w:rPr>
          <w:rFonts w:ascii="Calibri" w:hAnsi="Calibri" w:cs="Calibri"/>
          <w:lang w:val="ro-RO"/>
        </w:rPr>
        <w:tab/>
        <w:t>Din păcate, profesiile liberale nu sunt menționate în mod expres ca beneficiare ale fondurilor  alocate în cadrul Planului Național de Redresare și Reziliență deși anterior prin Ordonanța de Urgență nr. 130/2020 privi</w:t>
      </w:r>
      <w:r>
        <w:rPr>
          <w:rFonts w:ascii="Calibri" w:hAnsi="Calibri" w:cs="Calibri"/>
          <w:lang w:val="ro-RO"/>
        </w:rPr>
        <w:t>nd unele măsuri pentru acordarea de sprijin financiar din fonduri externe nerambursabile, aferente Programului operațional Competitivitate 2014-2020, în contextul crizei provocate de COVID-19, precum și alte măsuri în domeniul fondurilor europene, avocații</w:t>
      </w:r>
      <w:r>
        <w:rPr>
          <w:rFonts w:ascii="Calibri" w:hAnsi="Calibri" w:cs="Calibri"/>
          <w:lang w:val="ro-RO"/>
        </w:rPr>
        <w:t xml:space="preserve"> au putut accesa fondurile europene nerambursabile alături de IMM-uri.</w:t>
      </w:r>
    </w:p>
    <w:p w14:paraId="4C22ADB3" w14:textId="77777777" w:rsidR="00B447BA" w:rsidRDefault="004E01FB">
      <w:pPr>
        <w:pStyle w:val="Standard"/>
        <w:spacing w:line="360" w:lineRule="auto"/>
        <w:jc w:val="both"/>
      </w:pPr>
      <w:r>
        <w:rPr>
          <w:rFonts w:ascii="Calibri" w:hAnsi="Calibri" w:cs="Calibri"/>
          <w:lang w:val="ro-RO"/>
        </w:rPr>
        <w:tab/>
        <w:t xml:space="preserve">În Raportul European </w:t>
      </w:r>
      <w:proofErr w:type="spellStart"/>
      <w:r>
        <w:rPr>
          <w:rFonts w:ascii="Calibri" w:hAnsi="Calibri" w:cs="Calibri"/>
          <w:lang w:val="ro-RO"/>
        </w:rPr>
        <w:t>Lawyers</w:t>
      </w:r>
      <w:proofErr w:type="spellEnd"/>
      <w:r>
        <w:rPr>
          <w:rFonts w:ascii="Calibri" w:hAnsi="Calibri" w:cs="Calibri"/>
          <w:lang w:val="ro-RO"/>
        </w:rPr>
        <w:t xml:space="preserve"> Foundation</w:t>
      </w:r>
      <w:r>
        <w:rPr>
          <w:rStyle w:val="FootnoteReference"/>
          <w:rFonts w:ascii="Calibri" w:hAnsi="Calibri" w:cs="Calibri"/>
          <w:lang w:val="ro-RO"/>
        </w:rPr>
        <w:footnoteReference w:id="26"/>
      </w:r>
      <w:r>
        <w:rPr>
          <w:rFonts w:ascii="Calibri" w:hAnsi="Calibri" w:cs="Calibri"/>
          <w:lang w:val="ro-RO"/>
        </w:rPr>
        <w:t xml:space="preserve"> este </w:t>
      </w:r>
      <w:proofErr w:type="spellStart"/>
      <w:r>
        <w:rPr>
          <w:rFonts w:ascii="Calibri" w:hAnsi="Calibri" w:cs="Calibri"/>
          <w:lang w:val="ro-RO"/>
        </w:rPr>
        <w:t>prezentantă</w:t>
      </w:r>
      <w:proofErr w:type="spellEnd"/>
      <w:r>
        <w:rPr>
          <w:rFonts w:ascii="Calibri" w:hAnsi="Calibri" w:cs="Calibri"/>
          <w:lang w:val="ro-RO"/>
        </w:rPr>
        <w:t xml:space="preserve"> tendința</w:t>
      </w:r>
      <w:r>
        <w:rPr>
          <w:rFonts w:ascii="Calibri" w:hAnsi="Calibri" w:cs="Calibri"/>
          <w:lang w:val="ro-RO"/>
        </w:rPr>
        <w:t xml:space="preserve"> societăților mici de avocați/cabinetelor individuale de a avea dificultăți economice în a întreprinde investiții în digitalizare și instruire a personalului pentru a se adapta schimbărilor tehnologice.</w:t>
      </w:r>
    </w:p>
    <w:p w14:paraId="696E7C0C" w14:textId="77777777" w:rsidR="00B447BA" w:rsidRDefault="004E01FB">
      <w:pPr>
        <w:pStyle w:val="Standard"/>
        <w:spacing w:line="360" w:lineRule="auto"/>
        <w:jc w:val="both"/>
      </w:pPr>
      <w:r>
        <w:rPr>
          <w:rFonts w:ascii="Calibri" w:hAnsi="Calibri" w:cs="Calibri"/>
          <w:lang w:val="ro-RO"/>
        </w:rPr>
        <w:tab/>
        <w:t>O digitalizare cât mai rapidă a serviciilor juridice</w:t>
      </w:r>
      <w:r>
        <w:rPr>
          <w:rFonts w:ascii="Calibri" w:hAnsi="Calibri" w:cs="Calibri"/>
          <w:lang w:val="ro-RO"/>
        </w:rPr>
        <w:t xml:space="preserve"> prestate de avocați ar fi benefică nu numai pentru activitatea acestora ci ar determina și un control fiscal eficient al autorităților fiscale ceea ce s-ar reflecta și în creșterea veniturile încasate de stat, scenariu imaginat și în Ghid</w:t>
      </w:r>
      <w:r>
        <w:rPr>
          <w:rStyle w:val="FootnoteReference"/>
          <w:rFonts w:ascii="Calibri" w:hAnsi="Calibri" w:cs="Calibri"/>
          <w:lang w:val="ro-RO"/>
        </w:rPr>
        <w:footnoteReference w:id="27"/>
      </w:r>
      <w:r>
        <w:rPr>
          <w:rFonts w:ascii="Calibri" w:hAnsi="Calibri" w:cs="Calibri"/>
          <w:lang w:val="ro-RO"/>
        </w:rPr>
        <w:t>.</w:t>
      </w:r>
    </w:p>
    <w:p w14:paraId="4E99D843" w14:textId="77777777" w:rsidR="00B447BA" w:rsidRDefault="004E01FB">
      <w:pPr>
        <w:pStyle w:val="Standard"/>
        <w:spacing w:line="360" w:lineRule="auto"/>
        <w:jc w:val="both"/>
      </w:pPr>
      <w:r>
        <w:rPr>
          <w:rFonts w:ascii="Calibri" w:hAnsi="Calibri" w:cs="Calibri"/>
          <w:lang w:val="ro-RO"/>
        </w:rPr>
        <w:tab/>
        <w:t>Ghidul</w:t>
      </w:r>
      <w:r>
        <w:rPr>
          <w:rStyle w:val="FootnoteReference"/>
          <w:rFonts w:ascii="Calibri" w:hAnsi="Calibri" w:cs="Calibri"/>
          <w:lang w:val="ro-RO"/>
        </w:rPr>
        <w:footnoteReference w:id="28"/>
      </w:r>
      <w:r>
        <w:rPr>
          <w:rFonts w:ascii="Calibri" w:hAnsi="Calibri" w:cs="Calibri"/>
          <w:lang w:val="ro-RO"/>
        </w:rPr>
        <w:t xml:space="preserve"> recomandă barourilor și uniunilor naționale ale barourilor din fiecare țară să ia în considerare acord</w:t>
      </w:r>
      <w:r>
        <w:rPr>
          <w:rFonts w:ascii="Calibri" w:hAnsi="Calibri" w:cs="Calibri"/>
          <w:lang w:val="ro-RO"/>
        </w:rPr>
        <w:t>area de asistență avocaților în folosirea instrumentelor de IA, prin contractarea</w:t>
      </w:r>
    </w:p>
    <w:p w14:paraId="7F0A5E80" w14:textId="77777777" w:rsidR="00B447BA" w:rsidRDefault="004E01FB">
      <w:pPr>
        <w:pStyle w:val="Standard"/>
        <w:spacing w:line="360" w:lineRule="auto"/>
        <w:jc w:val="both"/>
        <w:rPr>
          <w:rFonts w:ascii="Calibri" w:hAnsi="Calibri" w:cs="Calibri"/>
          <w:lang w:val="ro-RO"/>
        </w:rPr>
      </w:pPr>
      <w:r>
        <w:rPr>
          <w:rFonts w:ascii="Calibri" w:hAnsi="Calibri" w:cs="Calibri"/>
          <w:lang w:val="ro-RO"/>
        </w:rPr>
        <w:t>unor firme specializate pentru a evalua produsele juridice de IA și chiar de a introduce produse standardizate pentru a evita scurgerea neautorizată de date, concomitent cu a</w:t>
      </w:r>
      <w:r>
        <w:rPr>
          <w:rFonts w:ascii="Calibri" w:hAnsi="Calibri" w:cs="Calibri"/>
          <w:lang w:val="ro-RO"/>
        </w:rPr>
        <w:t xml:space="preserve">cțiuni de apărare a principiilor fundamentale ale profesiei de avocat, mai ales în cazurile în care aplicațiile IA ar putea aduce atingere </w:t>
      </w:r>
      <w:proofErr w:type="spellStart"/>
      <w:r>
        <w:rPr>
          <w:rFonts w:ascii="Calibri" w:hAnsi="Calibri" w:cs="Calibri"/>
          <w:lang w:val="ro-RO"/>
        </w:rPr>
        <w:t>independeței</w:t>
      </w:r>
      <w:proofErr w:type="spellEnd"/>
      <w:r>
        <w:rPr>
          <w:rFonts w:ascii="Calibri" w:hAnsi="Calibri" w:cs="Calibri"/>
          <w:lang w:val="ro-RO"/>
        </w:rPr>
        <w:t xml:space="preserve"> avocatului. În acest context, CCBE notează că societățile mici de avocați și cabinetele individuale sunt</w:t>
      </w:r>
      <w:r>
        <w:rPr>
          <w:rFonts w:ascii="Calibri" w:hAnsi="Calibri" w:cs="Calibri"/>
          <w:lang w:val="ro-RO"/>
        </w:rPr>
        <w:t xml:space="preserve"> cele mai expuse unor astfel de riscuri.</w:t>
      </w:r>
    </w:p>
    <w:p w14:paraId="4BD83E60" w14:textId="77777777" w:rsidR="00B447BA" w:rsidRDefault="004E01FB">
      <w:pPr>
        <w:pStyle w:val="Standard"/>
        <w:spacing w:line="360" w:lineRule="auto"/>
        <w:jc w:val="both"/>
      </w:pPr>
      <w:r>
        <w:rPr>
          <w:rFonts w:ascii="Calibri" w:hAnsi="Calibri" w:cs="Calibri"/>
          <w:lang w:val="ro-RO"/>
        </w:rPr>
        <w:lastRenderedPageBreak/>
        <w:tab/>
        <w:t xml:space="preserve">Paradoxal, </w:t>
      </w:r>
      <w:r>
        <w:rPr>
          <w:rFonts w:ascii="Calibri" w:hAnsi="Calibri" w:cs="Calibri"/>
          <w:b/>
          <w:bCs/>
          <w:lang w:val="ro-RO"/>
        </w:rPr>
        <w:t>numărul avocaților</w:t>
      </w:r>
      <w:r>
        <w:rPr>
          <w:rStyle w:val="FootnoteReference"/>
          <w:rFonts w:ascii="Calibri" w:hAnsi="Calibri" w:cs="Calibri"/>
          <w:b/>
          <w:bCs/>
          <w:lang w:val="ro-RO"/>
        </w:rPr>
        <w:footnoteReference w:id="29"/>
      </w:r>
      <w:r>
        <w:rPr>
          <w:rFonts w:ascii="Calibri" w:hAnsi="Calibri" w:cs="Calibri"/>
          <w:b/>
          <w:bCs/>
          <w:lang w:val="ro-RO"/>
        </w:rPr>
        <w:t xml:space="preserve"> se mărește cu </w:t>
      </w:r>
      <w:r>
        <w:rPr>
          <w:rFonts w:ascii="Calibri" w:hAnsi="Calibri" w:cs="Calibri"/>
          <w:b/>
          <w:bCs/>
          <w:lang w:val="ro-RO"/>
        </w:rPr>
        <w:t>cât o societate este mai digitalizată,</w:t>
      </w:r>
      <w:r>
        <w:rPr>
          <w:rFonts w:ascii="Calibri" w:hAnsi="Calibri" w:cs="Calibri"/>
          <w:lang w:val="ro-RO"/>
        </w:rPr>
        <w:t xml:space="preserve"> fără a avea în vedere suprafața țării, </w:t>
      </w:r>
      <w:r>
        <w:rPr>
          <w:rFonts w:ascii="Calibri" w:hAnsi="Calibri" w:cs="Calibri"/>
          <w:b/>
          <w:bCs/>
          <w:lang w:val="ro-RO"/>
        </w:rPr>
        <w:t xml:space="preserve">cu atât crește numărul avocaților din acea țară, </w:t>
      </w:r>
      <w:r>
        <w:rPr>
          <w:rFonts w:ascii="Calibri" w:hAnsi="Calibri" w:cs="Calibri"/>
          <w:lang w:val="ro-RO"/>
        </w:rPr>
        <w:t>ceea ce înseamnă că digitalizarea sporește complexitatea problemelor pe care avocații trebuie să le gestioneze.</w:t>
      </w:r>
    </w:p>
    <w:p w14:paraId="41DDB5AD" w14:textId="77777777" w:rsidR="00B447BA" w:rsidRDefault="004E01FB">
      <w:pPr>
        <w:pStyle w:val="Standard"/>
        <w:spacing w:line="360" w:lineRule="auto"/>
        <w:jc w:val="both"/>
        <w:rPr>
          <w:rFonts w:ascii="Calibri" w:hAnsi="Calibri" w:cs="Calibri"/>
          <w:lang w:val="ro-RO"/>
        </w:rPr>
      </w:pPr>
      <w:r>
        <w:rPr>
          <w:rFonts w:ascii="Calibri" w:hAnsi="Calibri" w:cs="Calibri"/>
          <w:lang w:val="ro-RO"/>
        </w:rPr>
        <w:tab/>
        <w:t>Este benefic pen</w:t>
      </w:r>
      <w:r>
        <w:rPr>
          <w:rFonts w:ascii="Calibri" w:hAnsi="Calibri" w:cs="Calibri"/>
          <w:lang w:val="ro-RO"/>
        </w:rPr>
        <w:t>tru profesia de avocat ca aceasta să îmbrățișeze digitalizarea dar cu precauțiile expuse în articol.</w:t>
      </w:r>
    </w:p>
    <w:p w14:paraId="718F8EA7" w14:textId="77777777" w:rsidR="00B447BA" w:rsidRDefault="00B447BA">
      <w:pPr>
        <w:pStyle w:val="Standard"/>
        <w:spacing w:line="360" w:lineRule="auto"/>
        <w:jc w:val="both"/>
        <w:rPr>
          <w:rFonts w:ascii="Calibri" w:hAnsi="Calibri" w:cs="Calibri"/>
          <w:lang w:val="ro-RO"/>
        </w:rPr>
      </w:pPr>
    </w:p>
    <w:p w14:paraId="2B609095" w14:textId="77777777" w:rsidR="00B447BA" w:rsidRDefault="00B447BA">
      <w:pPr>
        <w:pStyle w:val="Standard"/>
        <w:spacing w:line="360" w:lineRule="auto"/>
        <w:jc w:val="both"/>
        <w:rPr>
          <w:rFonts w:ascii="Calibri" w:hAnsi="Calibri" w:cs="Calibri"/>
          <w:lang w:val="ro-RO"/>
        </w:rPr>
      </w:pPr>
    </w:p>
    <w:p w14:paraId="32977DF8" w14:textId="77777777" w:rsidR="00B447BA" w:rsidRDefault="00B447BA">
      <w:pPr>
        <w:pStyle w:val="Standard"/>
        <w:spacing w:line="360" w:lineRule="auto"/>
        <w:jc w:val="both"/>
        <w:rPr>
          <w:rFonts w:ascii="Calibri" w:hAnsi="Calibri" w:cs="Calibri"/>
          <w:lang w:val="ro-RO"/>
        </w:rPr>
      </w:pPr>
    </w:p>
    <w:p w14:paraId="78C864C3" w14:textId="77777777" w:rsidR="00B447BA" w:rsidRDefault="00B447BA">
      <w:pPr>
        <w:pStyle w:val="Standard"/>
        <w:spacing w:line="360" w:lineRule="auto"/>
        <w:jc w:val="both"/>
        <w:rPr>
          <w:rFonts w:ascii="Calibri" w:hAnsi="Calibri" w:cs="Calibri"/>
          <w:lang w:val="ro-RO"/>
        </w:rPr>
      </w:pPr>
    </w:p>
    <w:p w14:paraId="3ACE8C98" w14:textId="77777777" w:rsidR="00B447BA" w:rsidRDefault="00B447BA">
      <w:pPr>
        <w:pStyle w:val="Standard"/>
        <w:spacing w:line="360" w:lineRule="auto"/>
        <w:jc w:val="both"/>
        <w:rPr>
          <w:rFonts w:ascii="Calibri" w:hAnsi="Calibri" w:cs="Calibri"/>
          <w:lang w:val="ro-RO"/>
        </w:rPr>
      </w:pPr>
    </w:p>
    <w:p w14:paraId="20F47185" w14:textId="77777777" w:rsidR="00B447BA" w:rsidRDefault="00B447BA">
      <w:pPr>
        <w:pStyle w:val="Standard"/>
        <w:spacing w:line="360" w:lineRule="auto"/>
        <w:jc w:val="both"/>
        <w:rPr>
          <w:rFonts w:ascii="Calibri" w:hAnsi="Calibri" w:cs="Calibri"/>
          <w:lang w:val="ro-RO"/>
        </w:rPr>
      </w:pPr>
    </w:p>
    <w:p w14:paraId="5CB3CE09" w14:textId="77777777" w:rsidR="00B447BA" w:rsidRDefault="00B447BA">
      <w:pPr>
        <w:pStyle w:val="Standard"/>
        <w:spacing w:line="360" w:lineRule="auto"/>
        <w:jc w:val="both"/>
        <w:rPr>
          <w:rFonts w:ascii="Calibri" w:hAnsi="Calibri" w:cs="Calibri"/>
          <w:lang w:val="ro-RO"/>
        </w:rPr>
      </w:pPr>
    </w:p>
    <w:p w14:paraId="78F41D7C" w14:textId="77777777" w:rsidR="00B447BA" w:rsidRDefault="00B447BA">
      <w:pPr>
        <w:pStyle w:val="Standard"/>
        <w:spacing w:line="360" w:lineRule="auto"/>
        <w:jc w:val="both"/>
        <w:rPr>
          <w:rFonts w:ascii="Calibri" w:hAnsi="Calibri" w:cs="Calibri"/>
          <w:lang w:val="ro-RO"/>
        </w:rPr>
      </w:pPr>
    </w:p>
    <w:p w14:paraId="481C25AB" w14:textId="77777777" w:rsidR="00B447BA" w:rsidRDefault="00B447BA">
      <w:pPr>
        <w:pStyle w:val="Standard"/>
        <w:spacing w:line="360" w:lineRule="auto"/>
        <w:jc w:val="both"/>
        <w:rPr>
          <w:rFonts w:ascii="Calibri" w:hAnsi="Calibri" w:cs="Calibri"/>
          <w:lang w:val="ro-RO"/>
        </w:rPr>
      </w:pPr>
    </w:p>
    <w:p w14:paraId="7ADDE244" w14:textId="77777777" w:rsidR="00B447BA" w:rsidRDefault="00B447BA">
      <w:pPr>
        <w:pStyle w:val="Standard"/>
        <w:spacing w:line="360" w:lineRule="auto"/>
        <w:jc w:val="both"/>
        <w:rPr>
          <w:rFonts w:ascii="Calibri" w:hAnsi="Calibri" w:cs="Calibri"/>
          <w:lang w:val="ro-RO"/>
        </w:rPr>
      </w:pPr>
    </w:p>
    <w:p w14:paraId="2D3E400B" w14:textId="77777777" w:rsidR="00B447BA" w:rsidRDefault="00B447BA">
      <w:pPr>
        <w:pStyle w:val="Standard"/>
        <w:spacing w:line="360" w:lineRule="auto"/>
        <w:jc w:val="both"/>
        <w:rPr>
          <w:rFonts w:ascii="Calibri" w:hAnsi="Calibri" w:cs="Calibri"/>
          <w:lang w:val="ro-RO"/>
        </w:rPr>
      </w:pPr>
    </w:p>
    <w:p w14:paraId="482BAADB" w14:textId="77777777" w:rsidR="00B447BA" w:rsidRDefault="00B447BA">
      <w:pPr>
        <w:pStyle w:val="Standard"/>
        <w:spacing w:line="360" w:lineRule="auto"/>
        <w:jc w:val="both"/>
        <w:rPr>
          <w:rFonts w:ascii="Calibri" w:hAnsi="Calibri" w:cs="Calibri"/>
          <w:lang w:val="ro-RO"/>
        </w:rPr>
      </w:pPr>
    </w:p>
    <w:p w14:paraId="4E466AA0" w14:textId="77777777" w:rsidR="00B447BA" w:rsidRDefault="00B447BA">
      <w:pPr>
        <w:pStyle w:val="Standard"/>
        <w:spacing w:line="360" w:lineRule="auto"/>
        <w:jc w:val="both"/>
        <w:rPr>
          <w:rFonts w:ascii="Calibri" w:hAnsi="Calibri" w:cs="Calibri"/>
          <w:lang w:val="ro-RO"/>
        </w:rPr>
      </w:pPr>
    </w:p>
    <w:p w14:paraId="7E755882" w14:textId="77777777" w:rsidR="00B447BA" w:rsidRDefault="00B447BA">
      <w:pPr>
        <w:pStyle w:val="Standard"/>
        <w:spacing w:line="360" w:lineRule="auto"/>
        <w:jc w:val="both"/>
        <w:rPr>
          <w:rFonts w:ascii="Calibri" w:hAnsi="Calibri" w:cs="Calibri"/>
          <w:lang w:val="ro-RO"/>
        </w:rPr>
      </w:pPr>
    </w:p>
    <w:p w14:paraId="76D17201" w14:textId="77777777" w:rsidR="00B447BA" w:rsidRDefault="00B447BA">
      <w:pPr>
        <w:pStyle w:val="Standard"/>
        <w:spacing w:line="360" w:lineRule="auto"/>
        <w:jc w:val="both"/>
        <w:rPr>
          <w:rFonts w:ascii="Calibri" w:hAnsi="Calibri" w:cs="Calibri"/>
          <w:lang w:val="ro-RO"/>
        </w:rPr>
      </w:pPr>
    </w:p>
    <w:p w14:paraId="5C0F7717" w14:textId="77777777" w:rsidR="00B447BA" w:rsidRDefault="00B447BA">
      <w:pPr>
        <w:pStyle w:val="Standard"/>
        <w:spacing w:line="360" w:lineRule="auto"/>
        <w:jc w:val="both"/>
        <w:rPr>
          <w:rFonts w:ascii="Calibri" w:hAnsi="Calibri" w:cs="Calibri"/>
          <w:lang w:val="ro-RO"/>
        </w:rPr>
      </w:pPr>
    </w:p>
    <w:p w14:paraId="58588864" w14:textId="77777777" w:rsidR="00B447BA" w:rsidRDefault="00B447BA">
      <w:pPr>
        <w:pStyle w:val="Standard"/>
        <w:spacing w:line="360" w:lineRule="auto"/>
        <w:jc w:val="both"/>
        <w:rPr>
          <w:rFonts w:ascii="Calibri" w:hAnsi="Calibri" w:cs="Calibri"/>
          <w:lang w:val="ro-RO"/>
        </w:rPr>
      </w:pPr>
    </w:p>
    <w:p w14:paraId="577558C4" w14:textId="77777777" w:rsidR="00B447BA" w:rsidRDefault="00B447BA">
      <w:pPr>
        <w:pStyle w:val="Standard"/>
        <w:spacing w:line="360" w:lineRule="auto"/>
        <w:jc w:val="both"/>
        <w:rPr>
          <w:rFonts w:ascii="Calibri" w:hAnsi="Calibri" w:cs="Calibri"/>
          <w:lang w:val="ro-RO"/>
        </w:rPr>
      </w:pPr>
    </w:p>
    <w:p w14:paraId="4BDB3B62" w14:textId="77777777" w:rsidR="00B447BA" w:rsidRDefault="00B447BA">
      <w:pPr>
        <w:pStyle w:val="Standard"/>
        <w:spacing w:line="360" w:lineRule="auto"/>
        <w:jc w:val="both"/>
        <w:rPr>
          <w:rFonts w:ascii="Calibri" w:hAnsi="Calibri" w:cs="Calibri"/>
          <w:lang w:val="ro-RO"/>
        </w:rPr>
      </w:pPr>
    </w:p>
    <w:p w14:paraId="3481F2D2" w14:textId="77777777" w:rsidR="00B447BA" w:rsidRDefault="00B447BA">
      <w:pPr>
        <w:pStyle w:val="Standard"/>
        <w:spacing w:line="360" w:lineRule="auto"/>
        <w:jc w:val="center"/>
        <w:rPr>
          <w:rFonts w:ascii="Calibri" w:hAnsi="Calibri" w:cs="Calibri"/>
          <w:lang w:val="ro-RO"/>
        </w:rPr>
      </w:pPr>
    </w:p>
    <w:sectPr w:rsidR="00B447BA">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1CD1A" w14:textId="77777777" w:rsidR="004E01FB" w:rsidRDefault="004E01FB">
      <w:r>
        <w:separator/>
      </w:r>
    </w:p>
  </w:endnote>
  <w:endnote w:type="continuationSeparator" w:id="0">
    <w:p w14:paraId="11DAE771" w14:textId="77777777" w:rsidR="004E01FB" w:rsidRDefault="004E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FD76" w14:textId="77777777" w:rsidR="004E01FB" w:rsidRDefault="004E01FB">
      <w:r>
        <w:rPr>
          <w:color w:val="000000"/>
        </w:rPr>
        <w:separator/>
      </w:r>
    </w:p>
  </w:footnote>
  <w:footnote w:type="continuationSeparator" w:id="0">
    <w:p w14:paraId="2F1699F9" w14:textId="77777777" w:rsidR="004E01FB" w:rsidRDefault="004E01FB">
      <w:r>
        <w:continuationSeparator/>
      </w:r>
    </w:p>
  </w:footnote>
  <w:footnote w:id="1">
    <w:p w14:paraId="1F127208" w14:textId="77777777" w:rsidR="00B447BA" w:rsidRDefault="004E01FB">
      <w:pPr>
        <w:pStyle w:val="Footnote"/>
        <w:spacing w:line="360" w:lineRule="auto"/>
        <w:jc w:val="both"/>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Europe, European </w:t>
      </w:r>
      <w:proofErr w:type="spellStart"/>
      <w:r>
        <w:rPr>
          <w:lang w:val="ro-RO"/>
        </w:rPr>
        <w:t>Lawyers</w:t>
      </w:r>
      <w:proofErr w:type="spellEnd"/>
      <w:r>
        <w:rPr>
          <w:lang w:val="ro-RO"/>
        </w:rPr>
        <w:t xml:space="preserve"> Foundation, </w:t>
      </w:r>
      <w:proofErr w:type="spellStart"/>
      <w:r>
        <w:rPr>
          <w:i/>
          <w:iCs/>
          <w:lang w:val="ro-RO"/>
        </w:rPr>
        <w:t>Overview</w:t>
      </w:r>
      <w:proofErr w:type="spellEnd"/>
      <w:r>
        <w:rPr>
          <w:i/>
          <w:iCs/>
          <w:lang w:val="ro-RO"/>
        </w:rPr>
        <w:t xml:space="preserve"> on the ”</w:t>
      </w:r>
      <w:proofErr w:type="spellStart"/>
      <w:r>
        <w:rPr>
          <w:i/>
          <w:iCs/>
          <w:lang w:val="ro-RO"/>
        </w:rPr>
        <w:t>average</w:t>
      </w:r>
      <w:proofErr w:type="spellEnd"/>
      <w:r>
        <w:rPr>
          <w:i/>
          <w:iCs/>
          <w:lang w:val="ro-RO"/>
        </w:rPr>
        <w:t xml:space="preserve"> state of the </w:t>
      </w:r>
      <w:proofErr w:type="spellStart"/>
      <w:r>
        <w:rPr>
          <w:i/>
          <w:iCs/>
          <w:lang w:val="ro-RO"/>
        </w:rPr>
        <w:t>art</w:t>
      </w:r>
      <w:proofErr w:type="spellEnd"/>
      <w:r>
        <w:rPr>
          <w:i/>
          <w:iCs/>
          <w:lang w:val="ro-RO"/>
        </w:rPr>
        <w:t xml:space="preserve">” IT </w:t>
      </w:r>
      <w:proofErr w:type="spellStart"/>
      <w:r>
        <w:rPr>
          <w:i/>
          <w:iCs/>
          <w:lang w:val="ro-RO"/>
        </w:rPr>
        <w:t>Capabilities</w:t>
      </w:r>
      <w:proofErr w:type="spellEnd"/>
      <w:r>
        <w:rPr>
          <w:i/>
          <w:iCs/>
          <w:lang w:val="ro-RO"/>
        </w:rPr>
        <w:t xml:space="preserve"> of </w:t>
      </w:r>
      <w:proofErr w:type="spellStart"/>
      <w:r>
        <w:rPr>
          <w:i/>
          <w:iCs/>
          <w:lang w:val="ro-RO"/>
        </w:rPr>
        <w:t>law</w:t>
      </w:r>
      <w:proofErr w:type="spellEnd"/>
      <w:r>
        <w:rPr>
          <w:i/>
          <w:iCs/>
          <w:lang w:val="ro-RO"/>
        </w:rPr>
        <w:t xml:space="preserve"> </w:t>
      </w:r>
      <w:proofErr w:type="spellStart"/>
      <w:r>
        <w:rPr>
          <w:i/>
          <w:iCs/>
          <w:lang w:val="ro-RO"/>
        </w:rPr>
        <w:t>firms</w:t>
      </w:r>
      <w:proofErr w:type="spellEnd"/>
      <w:r>
        <w:rPr>
          <w:i/>
          <w:iCs/>
          <w:lang w:val="ro-RO"/>
        </w:rPr>
        <w:t xml:space="preserve"> in the European Union </w:t>
      </w:r>
      <w:proofErr w:type="spellStart"/>
      <w:r>
        <w:rPr>
          <w:i/>
          <w:iCs/>
          <w:lang w:val="ro-RO"/>
        </w:rPr>
        <w:t>and</w:t>
      </w:r>
      <w:proofErr w:type="spellEnd"/>
      <w:r>
        <w:rPr>
          <w:i/>
          <w:iCs/>
          <w:lang w:val="ro-RO"/>
        </w:rPr>
        <w:t xml:space="preserve"> </w:t>
      </w:r>
      <w:proofErr w:type="spellStart"/>
      <w:r>
        <w:rPr>
          <w:i/>
          <w:iCs/>
          <w:lang w:val="ro-RO"/>
        </w:rPr>
        <w:t>gap</w:t>
      </w:r>
      <w:proofErr w:type="spellEnd"/>
      <w:r>
        <w:rPr>
          <w:i/>
          <w:iCs/>
          <w:lang w:val="ro-RO"/>
        </w:rPr>
        <w:t xml:space="preserve"> </w:t>
      </w:r>
      <w:proofErr w:type="spellStart"/>
      <w:r>
        <w:rPr>
          <w:i/>
          <w:iCs/>
          <w:lang w:val="ro-RO"/>
        </w:rPr>
        <w:t>analysis</w:t>
      </w:r>
      <w:proofErr w:type="spellEnd"/>
      <w:r>
        <w:rPr>
          <w:i/>
          <w:iCs/>
          <w:lang w:val="ro-RO"/>
        </w:rPr>
        <w:t xml:space="preserve"> </w:t>
      </w:r>
      <w:proofErr w:type="spellStart"/>
      <w:r>
        <w:rPr>
          <w:i/>
          <w:iCs/>
          <w:lang w:val="ro-RO"/>
        </w:rPr>
        <w:t>compared</w:t>
      </w:r>
      <w:proofErr w:type="spellEnd"/>
      <w:r>
        <w:rPr>
          <w:i/>
          <w:iCs/>
          <w:lang w:val="ro-RO"/>
        </w:rPr>
        <w:t xml:space="preserve"> </w:t>
      </w:r>
      <w:proofErr w:type="spellStart"/>
      <w:r>
        <w:rPr>
          <w:i/>
          <w:iCs/>
          <w:lang w:val="ro-RO"/>
        </w:rPr>
        <w:t>to</w:t>
      </w:r>
      <w:proofErr w:type="spellEnd"/>
      <w:r>
        <w:rPr>
          <w:i/>
          <w:iCs/>
          <w:lang w:val="ro-RO"/>
        </w:rPr>
        <w:t xml:space="preserve"> US/UK/Canada </w:t>
      </w:r>
      <w:proofErr w:type="spellStart"/>
      <w:r>
        <w:rPr>
          <w:i/>
          <w:iCs/>
          <w:lang w:val="ro-RO"/>
        </w:rPr>
        <w:t>best</w:t>
      </w:r>
      <w:proofErr w:type="spellEnd"/>
      <w:r>
        <w:rPr>
          <w:i/>
          <w:iCs/>
          <w:lang w:val="ro-RO"/>
        </w:rPr>
        <w:t xml:space="preserve"> </w:t>
      </w:r>
      <w:proofErr w:type="spellStart"/>
      <w:r>
        <w:rPr>
          <w:i/>
          <w:iCs/>
          <w:lang w:val="ro-RO"/>
        </w:rPr>
        <w:t>practices</w:t>
      </w:r>
      <w:proofErr w:type="spellEnd"/>
      <w:r>
        <w:rPr>
          <w:lang w:val="ro-RO"/>
        </w:rPr>
        <w:t xml:space="preserve">, Brussels, februarie 2021, disponibil la </w:t>
      </w:r>
      <w:hyperlink r:id="rId1" w:history="1">
        <w:r>
          <w:rPr>
            <w:lang w:val="ro-RO"/>
          </w:rPr>
          <w:t>http://elf-fae.eu/wp-content/uploads/2021/03/Overview-of-the-average-state-of-the-art-IT-capabilities-in-the-EU.pdf</w:t>
        </w:r>
      </w:hyperlink>
      <w:r>
        <w:rPr>
          <w:lang w:val="ro-RO"/>
        </w:rPr>
        <w:t>.</w:t>
      </w:r>
    </w:p>
  </w:footnote>
  <w:footnote w:id="2">
    <w:p w14:paraId="21AD4FAC" w14:textId="77777777" w:rsidR="00B447BA" w:rsidRDefault="004E01FB">
      <w:pPr>
        <w:pStyle w:val="Footnote"/>
        <w:spacing w:line="360" w:lineRule="auto"/>
        <w:jc w:val="both"/>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Europe, European </w:t>
      </w:r>
      <w:proofErr w:type="spellStart"/>
      <w:r>
        <w:rPr>
          <w:lang w:val="ro-RO"/>
        </w:rPr>
        <w:t>Lawyers</w:t>
      </w:r>
      <w:proofErr w:type="spellEnd"/>
      <w:r>
        <w:rPr>
          <w:lang w:val="ro-RO"/>
        </w:rPr>
        <w:t xml:space="preserve"> Foundation, </w:t>
      </w:r>
      <w:r>
        <w:rPr>
          <w:i/>
          <w:iCs/>
          <w:lang w:val="ro-RO"/>
        </w:rPr>
        <w:t xml:space="preserve">A report on the </w:t>
      </w:r>
      <w:proofErr w:type="spellStart"/>
      <w:r>
        <w:rPr>
          <w:i/>
          <w:iCs/>
          <w:lang w:val="ro-RO"/>
        </w:rPr>
        <w:t>barriers</w:t>
      </w:r>
      <w:proofErr w:type="spellEnd"/>
      <w:r>
        <w:rPr>
          <w:i/>
          <w:iCs/>
          <w:lang w:val="ro-RO"/>
        </w:rPr>
        <w:t xml:space="preserve"> </w:t>
      </w:r>
      <w:proofErr w:type="spellStart"/>
      <w:r>
        <w:rPr>
          <w:i/>
          <w:iCs/>
          <w:lang w:val="ro-RO"/>
        </w:rPr>
        <w:t>and</w:t>
      </w:r>
      <w:proofErr w:type="spellEnd"/>
      <w:r>
        <w:rPr>
          <w:i/>
          <w:iCs/>
          <w:lang w:val="ro-RO"/>
        </w:rPr>
        <w:t xml:space="preserve"> </w:t>
      </w:r>
      <w:proofErr w:type="spellStart"/>
      <w:r>
        <w:rPr>
          <w:i/>
          <w:iCs/>
          <w:lang w:val="ro-RO"/>
        </w:rPr>
        <w:t>opportunities</w:t>
      </w:r>
      <w:proofErr w:type="spellEnd"/>
      <w:r>
        <w:rPr>
          <w:i/>
          <w:iCs/>
          <w:lang w:val="ro-RO"/>
        </w:rPr>
        <w:t xml:space="preserve"> in the </w:t>
      </w:r>
      <w:proofErr w:type="spellStart"/>
      <w:r>
        <w:rPr>
          <w:i/>
          <w:iCs/>
          <w:lang w:val="ro-RO"/>
        </w:rPr>
        <w:t>use</w:t>
      </w:r>
      <w:proofErr w:type="spellEnd"/>
      <w:r>
        <w:rPr>
          <w:i/>
          <w:iCs/>
          <w:lang w:val="ro-RO"/>
        </w:rPr>
        <w:t xml:space="preserve"> of natural </w:t>
      </w:r>
      <w:proofErr w:type="spellStart"/>
      <w:r>
        <w:rPr>
          <w:i/>
          <w:iCs/>
          <w:lang w:val="ro-RO"/>
        </w:rPr>
        <w:t>language</w:t>
      </w:r>
      <w:proofErr w:type="spellEnd"/>
      <w:r>
        <w:rPr>
          <w:i/>
          <w:iCs/>
          <w:lang w:val="ro-RO"/>
        </w:rPr>
        <w:t xml:space="preserve"> </w:t>
      </w:r>
      <w:proofErr w:type="spellStart"/>
      <w:r>
        <w:rPr>
          <w:i/>
          <w:iCs/>
          <w:lang w:val="ro-RO"/>
        </w:rPr>
        <w:t>processing</w:t>
      </w:r>
      <w:proofErr w:type="spellEnd"/>
      <w:r>
        <w:rPr>
          <w:i/>
          <w:iCs/>
          <w:lang w:val="ro-RO"/>
        </w:rPr>
        <w:t xml:space="preserve">  </w:t>
      </w:r>
      <w:proofErr w:type="spellStart"/>
      <w:r>
        <w:rPr>
          <w:i/>
          <w:iCs/>
          <w:lang w:val="ro-RO"/>
        </w:rPr>
        <w:t>tools</w:t>
      </w:r>
      <w:proofErr w:type="spellEnd"/>
      <w:r>
        <w:rPr>
          <w:i/>
          <w:iCs/>
          <w:lang w:val="ro-RO"/>
        </w:rPr>
        <w:t xml:space="preserve"> in </w:t>
      </w:r>
      <w:proofErr w:type="spellStart"/>
      <w:r>
        <w:rPr>
          <w:i/>
          <w:iCs/>
          <w:lang w:val="ro-RO"/>
        </w:rPr>
        <w:t>small</w:t>
      </w:r>
      <w:proofErr w:type="spellEnd"/>
      <w:r>
        <w:rPr>
          <w:i/>
          <w:iCs/>
          <w:lang w:val="ro-RO"/>
        </w:rPr>
        <w:t xml:space="preserve"> legal </w:t>
      </w:r>
      <w:proofErr w:type="spellStart"/>
      <w:r>
        <w:rPr>
          <w:i/>
          <w:iCs/>
          <w:lang w:val="ro-RO"/>
        </w:rPr>
        <w:t>offices</w:t>
      </w:r>
      <w:proofErr w:type="spellEnd"/>
      <w:r>
        <w:rPr>
          <w:i/>
          <w:iCs/>
          <w:lang w:val="ro-RO"/>
        </w:rPr>
        <w:t xml:space="preserve">  </w:t>
      </w:r>
      <w:hyperlink r:id="rId2" w:history="1">
        <w:r>
          <w:t>https://elf-fae.eu/wp-content/uploads/2021/12/Report-on-opportunities-and-barriers-in-the-use-of-NLP-tool</w:t>
        </w:r>
        <w:r>
          <w:t>s-in-SME-law-practices.pdf</w:t>
        </w:r>
      </w:hyperlink>
    </w:p>
  </w:footnote>
  <w:footnote w:id="3">
    <w:p w14:paraId="10D64281" w14:textId="77777777" w:rsidR="00B447BA" w:rsidRDefault="004E01FB">
      <w:pPr>
        <w:pStyle w:val="Footnote"/>
        <w:spacing w:line="360" w:lineRule="auto"/>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Europe, </w:t>
      </w:r>
      <w:proofErr w:type="spellStart"/>
      <w:r>
        <w:rPr>
          <w:i/>
          <w:iCs/>
          <w:lang w:val="ro-RO"/>
        </w:rPr>
        <w:t>Guide</w:t>
      </w:r>
      <w:proofErr w:type="spellEnd"/>
      <w:r>
        <w:rPr>
          <w:i/>
          <w:iCs/>
          <w:lang w:val="ro-RO"/>
        </w:rPr>
        <w:t xml:space="preserve">..., op. Cit., </w:t>
      </w:r>
      <w:r>
        <w:rPr>
          <w:lang w:val="ro-RO"/>
        </w:rPr>
        <w:t>cap. 1., p. 8.</w:t>
      </w:r>
    </w:p>
  </w:footnote>
  <w:footnote w:id="4">
    <w:p w14:paraId="06C215DD" w14:textId="77777777" w:rsidR="00B447BA" w:rsidRDefault="004E01FB">
      <w:pPr>
        <w:pStyle w:val="Footnote"/>
        <w:spacing w:line="360" w:lineRule="auto"/>
        <w:jc w:val="both"/>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Europe, European </w:t>
      </w:r>
      <w:proofErr w:type="spellStart"/>
      <w:r>
        <w:rPr>
          <w:lang w:val="ro-RO"/>
        </w:rPr>
        <w:t>Lawyers</w:t>
      </w:r>
      <w:proofErr w:type="spellEnd"/>
      <w:r>
        <w:rPr>
          <w:lang w:val="ro-RO"/>
        </w:rPr>
        <w:t xml:space="preserve"> Foundation, </w:t>
      </w:r>
      <w:proofErr w:type="spellStart"/>
      <w:r>
        <w:rPr>
          <w:i/>
          <w:iCs/>
          <w:lang w:val="ro-RO"/>
        </w:rPr>
        <w:t>Overview</w:t>
      </w:r>
      <w:proofErr w:type="spellEnd"/>
      <w:r>
        <w:rPr>
          <w:i/>
          <w:iCs/>
          <w:lang w:val="ro-RO"/>
        </w:rPr>
        <w:t xml:space="preserve">..., op. cit, </w:t>
      </w:r>
      <w:r>
        <w:rPr>
          <w:lang w:val="ro-RO"/>
        </w:rPr>
        <w:t>par. 2.2.2, p. 8.  ”</w:t>
      </w:r>
      <w:r>
        <w:rPr>
          <w:i/>
          <w:iCs/>
          <w:lang w:val="ro-RO"/>
        </w:rPr>
        <w:t xml:space="preserve">The OECD </w:t>
      </w:r>
      <w:proofErr w:type="spellStart"/>
      <w:r>
        <w:rPr>
          <w:i/>
          <w:iCs/>
          <w:lang w:val="ro-RO"/>
        </w:rPr>
        <w:t>highlights</w:t>
      </w:r>
      <w:proofErr w:type="spellEnd"/>
      <w:r>
        <w:rPr>
          <w:i/>
          <w:iCs/>
          <w:lang w:val="ro-RO"/>
        </w:rPr>
        <w:t xml:space="preserve"> </w:t>
      </w:r>
      <w:proofErr w:type="spellStart"/>
      <w:r>
        <w:rPr>
          <w:i/>
          <w:iCs/>
          <w:lang w:val="ro-RO"/>
        </w:rPr>
        <w:t>that</w:t>
      </w:r>
      <w:proofErr w:type="spellEnd"/>
      <w:r>
        <w:rPr>
          <w:i/>
          <w:iCs/>
          <w:lang w:val="ro-RO"/>
        </w:rPr>
        <w:t xml:space="preserve"> legal</w:t>
      </w:r>
      <w:r>
        <w:rPr>
          <w:i/>
          <w:iCs/>
          <w:lang w:val="ro-RO"/>
        </w:rPr>
        <w:t xml:space="preserve"> </w:t>
      </w:r>
      <w:proofErr w:type="spellStart"/>
      <w:r>
        <w:rPr>
          <w:i/>
          <w:iCs/>
          <w:lang w:val="ro-RO"/>
        </w:rPr>
        <w:t>activities</w:t>
      </w:r>
      <w:proofErr w:type="spellEnd"/>
      <w:r>
        <w:rPr>
          <w:i/>
          <w:iCs/>
          <w:lang w:val="ro-RO"/>
        </w:rPr>
        <w:t xml:space="preserve"> are </w:t>
      </w:r>
      <w:proofErr w:type="spellStart"/>
      <w:r>
        <w:rPr>
          <w:i/>
          <w:iCs/>
          <w:lang w:val="ro-RO"/>
        </w:rPr>
        <w:t>dominated</w:t>
      </w:r>
      <w:proofErr w:type="spellEnd"/>
      <w:r>
        <w:rPr>
          <w:i/>
          <w:iCs/>
          <w:lang w:val="ro-RO"/>
        </w:rPr>
        <w:t xml:space="preserve"> </w:t>
      </w:r>
      <w:proofErr w:type="spellStart"/>
      <w:r>
        <w:rPr>
          <w:i/>
          <w:iCs/>
          <w:lang w:val="ro-RO"/>
        </w:rPr>
        <w:t>by</w:t>
      </w:r>
      <w:proofErr w:type="spellEnd"/>
      <w:r>
        <w:rPr>
          <w:i/>
          <w:iCs/>
          <w:lang w:val="ro-RO"/>
        </w:rPr>
        <w:t xml:space="preserve"> </w:t>
      </w:r>
      <w:proofErr w:type="spellStart"/>
      <w:r>
        <w:rPr>
          <w:i/>
          <w:iCs/>
          <w:lang w:val="ro-RO"/>
        </w:rPr>
        <w:t>small</w:t>
      </w:r>
      <w:proofErr w:type="spellEnd"/>
      <w:r>
        <w:rPr>
          <w:i/>
          <w:iCs/>
          <w:lang w:val="ro-RO"/>
        </w:rPr>
        <w:t xml:space="preserve"> </w:t>
      </w:r>
      <w:proofErr w:type="spellStart"/>
      <w:r>
        <w:rPr>
          <w:i/>
          <w:iCs/>
          <w:lang w:val="ro-RO"/>
        </w:rPr>
        <w:t>businesses</w:t>
      </w:r>
      <w:proofErr w:type="spellEnd"/>
      <w:r>
        <w:rPr>
          <w:i/>
          <w:iCs/>
          <w:lang w:val="ro-RO"/>
        </w:rPr>
        <w:t xml:space="preserve">: </w:t>
      </w:r>
      <w:proofErr w:type="spellStart"/>
      <w:r>
        <w:rPr>
          <w:i/>
          <w:iCs/>
          <w:lang w:val="ro-RO"/>
        </w:rPr>
        <w:t>nonetheless</w:t>
      </w:r>
      <w:proofErr w:type="spellEnd"/>
      <w:r>
        <w:rPr>
          <w:i/>
          <w:iCs/>
          <w:lang w:val="ro-RO"/>
        </w:rPr>
        <w:t xml:space="preserve">, </w:t>
      </w:r>
      <w:proofErr w:type="spellStart"/>
      <w:r>
        <w:rPr>
          <w:i/>
          <w:iCs/>
          <w:lang w:val="ro-RO"/>
        </w:rPr>
        <w:t>some</w:t>
      </w:r>
      <w:proofErr w:type="spellEnd"/>
      <w:r>
        <w:rPr>
          <w:i/>
          <w:iCs/>
          <w:lang w:val="ro-RO"/>
        </w:rPr>
        <w:t xml:space="preserve"> </w:t>
      </w:r>
      <w:proofErr w:type="spellStart"/>
      <w:r>
        <w:rPr>
          <w:i/>
          <w:iCs/>
          <w:lang w:val="ro-RO"/>
        </w:rPr>
        <w:t>knowledge</w:t>
      </w:r>
      <w:proofErr w:type="spellEnd"/>
      <w:r>
        <w:rPr>
          <w:i/>
          <w:iCs/>
          <w:lang w:val="ro-RO"/>
        </w:rPr>
        <w:t xml:space="preserve">-intensive </w:t>
      </w:r>
      <w:proofErr w:type="spellStart"/>
      <w:r>
        <w:rPr>
          <w:i/>
          <w:iCs/>
          <w:lang w:val="ro-RO"/>
        </w:rPr>
        <w:t>services</w:t>
      </w:r>
      <w:proofErr w:type="spellEnd"/>
      <w:r>
        <w:rPr>
          <w:i/>
          <w:iCs/>
          <w:lang w:val="ro-RO"/>
        </w:rPr>
        <w:t xml:space="preserve"> </w:t>
      </w:r>
      <w:proofErr w:type="spellStart"/>
      <w:r>
        <w:rPr>
          <w:i/>
          <w:iCs/>
          <w:lang w:val="ro-RO"/>
        </w:rPr>
        <w:t>can</w:t>
      </w:r>
      <w:proofErr w:type="spellEnd"/>
      <w:r>
        <w:rPr>
          <w:i/>
          <w:iCs/>
          <w:lang w:val="ro-RO"/>
        </w:rPr>
        <w:t xml:space="preserve"> </w:t>
      </w:r>
      <w:proofErr w:type="spellStart"/>
      <w:r>
        <w:rPr>
          <w:i/>
          <w:iCs/>
          <w:lang w:val="ro-RO"/>
        </w:rPr>
        <w:t>be</w:t>
      </w:r>
      <w:proofErr w:type="spellEnd"/>
      <w:r>
        <w:rPr>
          <w:i/>
          <w:iCs/>
          <w:lang w:val="ro-RO"/>
        </w:rPr>
        <w:t xml:space="preserve"> </w:t>
      </w:r>
      <w:proofErr w:type="spellStart"/>
      <w:r>
        <w:rPr>
          <w:i/>
          <w:iCs/>
          <w:lang w:val="ro-RO"/>
        </w:rPr>
        <w:t>dominated</w:t>
      </w:r>
      <w:proofErr w:type="spellEnd"/>
      <w:r>
        <w:rPr>
          <w:i/>
          <w:iCs/>
          <w:lang w:val="ro-RO"/>
        </w:rPr>
        <w:t xml:space="preserve"> </w:t>
      </w:r>
      <w:proofErr w:type="spellStart"/>
      <w:r>
        <w:rPr>
          <w:i/>
          <w:iCs/>
          <w:lang w:val="ro-RO"/>
        </w:rPr>
        <w:t>by</w:t>
      </w:r>
      <w:proofErr w:type="spellEnd"/>
      <w:r>
        <w:rPr>
          <w:i/>
          <w:iCs/>
          <w:lang w:val="ro-RO"/>
        </w:rPr>
        <w:t xml:space="preserve"> </w:t>
      </w:r>
      <w:proofErr w:type="spellStart"/>
      <w:r>
        <w:rPr>
          <w:i/>
          <w:iCs/>
          <w:lang w:val="ro-RO"/>
        </w:rPr>
        <w:t>small</w:t>
      </w:r>
      <w:proofErr w:type="spellEnd"/>
      <w:r>
        <w:rPr>
          <w:i/>
          <w:iCs/>
          <w:lang w:val="ro-RO"/>
        </w:rPr>
        <w:t xml:space="preserve"> </w:t>
      </w:r>
      <w:proofErr w:type="spellStart"/>
      <w:r>
        <w:rPr>
          <w:i/>
          <w:iCs/>
          <w:lang w:val="ro-RO"/>
        </w:rPr>
        <w:t>businesses</w:t>
      </w:r>
      <w:proofErr w:type="spellEnd"/>
      <w:r>
        <w:rPr>
          <w:i/>
          <w:iCs/>
          <w:lang w:val="ro-RO"/>
        </w:rPr>
        <w:t xml:space="preserve">. </w:t>
      </w:r>
      <w:proofErr w:type="spellStart"/>
      <w:r>
        <w:rPr>
          <w:i/>
          <w:iCs/>
          <w:lang w:val="ro-RO"/>
        </w:rPr>
        <w:t>This</w:t>
      </w:r>
      <w:proofErr w:type="spellEnd"/>
      <w:r>
        <w:rPr>
          <w:i/>
          <w:iCs/>
          <w:lang w:val="ro-RO"/>
        </w:rPr>
        <w:t xml:space="preserve"> </w:t>
      </w:r>
      <w:proofErr w:type="spellStart"/>
      <w:r>
        <w:rPr>
          <w:i/>
          <w:iCs/>
          <w:lang w:val="ro-RO"/>
        </w:rPr>
        <w:t>is</w:t>
      </w:r>
      <w:proofErr w:type="spellEnd"/>
      <w:r>
        <w:rPr>
          <w:i/>
          <w:iCs/>
          <w:lang w:val="ro-RO"/>
        </w:rPr>
        <w:t xml:space="preserve"> the case in advertising, market </w:t>
      </w:r>
      <w:proofErr w:type="spellStart"/>
      <w:r>
        <w:rPr>
          <w:i/>
          <w:iCs/>
          <w:lang w:val="ro-RO"/>
        </w:rPr>
        <w:t>research</w:t>
      </w:r>
      <w:proofErr w:type="spellEnd"/>
      <w:r>
        <w:rPr>
          <w:i/>
          <w:iCs/>
          <w:lang w:val="ro-RO"/>
        </w:rPr>
        <w:t xml:space="preserve"> </w:t>
      </w:r>
      <w:proofErr w:type="spellStart"/>
      <w:r>
        <w:rPr>
          <w:i/>
          <w:iCs/>
          <w:lang w:val="ro-RO"/>
        </w:rPr>
        <w:t>and</w:t>
      </w:r>
      <w:proofErr w:type="spellEnd"/>
      <w:r>
        <w:rPr>
          <w:i/>
          <w:iCs/>
          <w:lang w:val="ro-RO"/>
        </w:rPr>
        <w:t xml:space="preserve"> </w:t>
      </w:r>
      <w:proofErr w:type="spellStart"/>
      <w:r>
        <w:rPr>
          <w:i/>
          <w:iCs/>
          <w:lang w:val="ro-RO"/>
        </w:rPr>
        <w:t>other</w:t>
      </w:r>
      <w:proofErr w:type="spellEnd"/>
      <w:r>
        <w:rPr>
          <w:i/>
          <w:iCs/>
          <w:lang w:val="ro-RO"/>
        </w:rPr>
        <w:t xml:space="preserve"> </w:t>
      </w:r>
      <w:proofErr w:type="spellStart"/>
      <w:r>
        <w:rPr>
          <w:i/>
          <w:iCs/>
          <w:lang w:val="ro-RO"/>
        </w:rPr>
        <w:t>professional</w:t>
      </w:r>
      <w:proofErr w:type="spellEnd"/>
      <w:r>
        <w:rPr>
          <w:i/>
          <w:iCs/>
          <w:lang w:val="ro-RO"/>
        </w:rPr>
        <w:t xml:space="preserve">, </w:t>
      </w:r>
      <w:proofErr w:type="spellStart"/>
      <w:r>
        <w:rPr>
          <w:i/>
          <w:iCs/>
          <w:lang w:val="ro-RO"/>
        </w:rPr>
        <w:t>scientific</w:t>
      </w:r>
      <w:proofErr w:type="spellEnd"/>
      <w:r>
        <w:rPr>
          <w:i/>
          <w:iCs/>
          <w:lang w:val="ro-RO"/>
        </w:rPr>
        <w:t xml:space="preserve"> </w:t>
      </w:r>
      <w:proofErr w:type="spellStart"/>
      <w:r>
        <w:rPr>
          <w:i/>
          <w:iCs/>
          <w:lang w:val="ro-RO"/>
        </w:rPr>
        <w:t>and</w:t>
      </w:r>
      <w:proofErr w:type="spellEnd"/>
      <w:r>
        <w:rPr>
          <w:i/>
          <w:iCs/>
          <w:lang w:val="ro-RO"/>
        </w:rPr>
        <w:t xml:space="preserve"> </w:t>
      </w:r>
      <w:proofErr w:type="spellStart"/>
      <w:r>
        <w:rPr>
          <w:i/>
          <w:iCs/>
          <w:lang w:val="ro-RO"/>
        </w:rPr>
        <w:t>technical</w:t>
      </w:r>
      <w:proofErr w:type="spellEnd"/>
      <w:r>
        <w:rPr>
          <w:i/>
          <w:iCs/>
          <w:lang w:val="ro-RO"/>
        </w:rPr>
        <w:t xml:space="preserve"> </w:t>
      </w:r>
      <w:proofErr w:type="spellStart"/>
      <w:r>
        <w:rPr>
          <w:i/>
          <w:iCs/>
          <w:lang w:val="ro-RO"/>
        </w:rPr>
        <w:t>activities</w:t>
      </w:r>
      <w:proofErr w:type="spellEnd"/>
      <w:r>
        <w:rPr>
          <w:i/>
          <w:iCs/>
          <w:lang w:val="ro-RO"/>
        </w:rPr>
        <w:t xml:space="preserve">, as </w:t>
      </w:r>
      <w:proofErr w:type="spellStart"/>
      <w:r>
        <w:rPr>
          <w:i/>
          <w:iCs/>
          <w:lang w:val="ro-RO"/>
        </w:rPr>
        <w:t>well</w:t>
      </w:r>
      <w:proofErr w:type="spellEnd"/>
      <w:r>
        <w:rPr>
          <w:i/>
          <w:iCs/>
          <w:lang w:val="ro-RO"/>
        </w:rPr>
        <w:t xml:space="preserve"> as leg</w:t>
      </w:r>
      <w:r>
        <w:rPr>
          <w:i/>
          <w:iCs/>
          <w:lang w:val="ro-RO"/>
        </w:rPr>
        <w:t xml:space="preserve">al, </w:t>
      </w:r>
      <w:proofErr w:type="spellStart"/>
      <w:r>
        <w:rPr>
          <w:i/>
          <w:iCs/>
          <w:lang w:val="ro-RO"/>
        </w:rPr>
        <w:t>accounting</w:t>
      </w:r>
      <w:proofErr w:type="spellEnd"/>
      <w:r>
        <w:rPr>
          <w:i/>
          <w:iCs/>
          <w:lang w:val="ro-RO"/>
        </w:rPr>
        <w:t xml:space="preserve"> </w:t>
      </w:r>
      <w:proofErr w:type="spellStart"/>
      <w:r>
        <w:rPr>
          <w:i/>
          <w:iCs/>
          <w:lang w:val="ro-RO"/>
        </w:rPr>
        <w:t>and</w:t>
      </w:r>
      <w:proofErr w:type="spellEnd"/>
      <w:r>
        <w:rPr>
          <w:i/>
          <w:iCs/>
          <w:lang w:val="ro-RO"/>
        </w:rPr>
        <w:t xml:space="preserve"> </w:t>
      </w:r>
      <w:proofErr w:type="spellStart"/>
      <w:r>
        <w:rPr>
          <w:i/>
          <w:iCs/>
          <w:lang w:val="ro-RO"/>
        </w:rPr>
        <w:t>manegement</w:t>
      </w:r>
      <w:proofErr w:type="spellEnd"/>
      <w:r>
        <w:rPr>
          <w:i/>
          <w:iCs/>
          <w:lang w:val="ro-RO"/>
        </w:rPr>
        <w:t xml:space="preserve"> </w:t>
      </w:r>
      <w:proofErr w:type="spellStart"/>
      <w:r>
        <w:rPr>
          <w:i/>
          <w:iCs/>
          <w:lang w:val="ro-RO"/>
        </w:rPr>
        <w:t>services</w:t>
      </w:r>
      <w:proofErr w:type="spellEnd"/>
      <w:r>
        <w:rPr>
          <w:lang w:val="ro-RO"/>
        </w:rPr>
        <w:t xml:space="preserve">”.                                                                                                                                                                                                                        </w:t>
      </w:r>
      <w:r>
        <w:rPr>
          <w:lang w:val="ro-RO"/>
        </w:rPr>
        <w:t xml:space="preserve">                                                                                                                                                                                                                                                                </w:t>
      </w:r>
      <w:r>
        <w:rPr>
          <w:lang w:val="ro-RO"/>
        </w:rPr>
        <w:t xml:space="preserve">                                                                                                                                                                                                                                                                </w:t>
      </w:r>
      <w:r>
        <w:rPr>
          <w:lang w:val="ro-RO"/>
        </w:rPr>
        <w:t xml:space="preserve">                                                                                                             </w:t>
      </w:r>
    </w:p>
  </w:footnote>
  <w:footnote w:id="5">
    <w:p w14:paraId="5ECD6396" w14:textId="77777777" w:rsidR="00B447BA" w:rsidRDefault="004E01FB">
      <w:pPr>
        <w:pStyle w:val="Footnote"/>
        <w:spacing w:line="360" w:lineRule="auto"/>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w:t>
      </w:r>
      <w:r>
        <w:rPr>
          <w:lang w:val="ro-RO"/>
        </w:rPr>
        <w:t>ieties</w:t>
      </w:r>
      <w:proofErr w:type="spellEnd"/>
      <w:r>
        <w:rPr>
          <w:lang w:val="ro-RO"/>
        </w:rPr>
        <w:t xml:space="preserve"> of Europe, </w:t>
      </w:r>
      <w:proofErr w:type="spellStart"/>
      <w:r>
        <w:rPr>
          <w:i/>
          <w:iCs/>
          <w:lang w:val="ro-RO"/>
        </w:rPr>
        <w:t>Guide</w:t>
      </w:r>
      <w:proofErr w:type="spellEnd"/>
      <w:r>
        <w:rPr>
          <w:i/>
          <w:iCs/>
          <w:lang w:val="ro-RO"/>
        </w:rPr>
        <w:t xml:space="preserve">..., op. Cit., </w:t>
      </w:r>
      <w:r>
        <w:rPr>
          <w:lang w:val="ro-RO"/>
        </w:rPr>
        <w:t>cap. 1., p.  11.</w:t>
      </w:r>
    </w:p>
  </w:footnote>
  <w:footnote w:id="6">
    <w:p w14:paraId="08725EB4" w14:textId="77777777" w:rsidR="00B447BA" w:rsidRDefault="004E01FB">
      <w:pPr>
        <w:pStyle w:val="Footnote"/>
        <w:spacing w:line="360" w:lineRule="auto"/>
        <w:jc w:val="both"/>
      </w:pPr>
      <w:r>
        <w:rPr>
          <w:rStyle w:val="FootnoteReference"/>
        </w:rPr>
        <w:footnoteRef/>
      </w:r>
      <w:r>
        <w:rPr>
          <w:i/>
          <w:iCs/>
          <w:lang w:val="ro-RO"/>
        </w:rPr>
        <w:t xml:space="preserve">Idem, </w:t>
      </w:r>
      <w:r>
        <w:rPr>
          <w:lang w:val="ro-RO"/>
        </w:rPr>
        <w:t>p. 11.</w:t>
      </w:r>
    </w:p>
  </w:footnote>
  <w:footnote w:id="7">
    <w:p w14:paraId="26A7DC16" w14:textId="77777777" w:rsidR="00B447BA" w:rsidRDefault="004E01FB">
      <w:pPr>
        <w:pStyle w:val="Footnote"/>
        <w:spacing w:line="360" w:lineRule="auto"/>
        <w:jc w:val="both"/>
      </w:pPr>
      <w:r>
        <w:rPr>
          <w:rStyle w:val="FootnoteReference"/>
        </w:rPr>
        <w:footnoteRef/>
      </w:r>
      <w:r>
        <w:rPr>
          <w:lang w:val="ro-RO"/>
        </w:rPr>
        <w:t xml:space="preserve">Traducere aproximativă - </w:t>
      </w:r>
      <w:r>
        <w:rPr>
          <w:lang w:val="ro-RO"/>
        </w:rPr>
        <w:t>„</w:t>
      </w:r>
      <w:r>
        <w:rPr>
          <w:i/>
          <w:iCs/>
          <w:lang w:val="ro-RO"/>
        </w:rPr>
        <w:t>o modalitate de a atenua criza democratică a expertizei profesionale — tensiunea dintre tehnocrații distanți și populiștii pasionați — este de a încuraja profesioniștii locali</w:t>
      </w:r>
      <w:r>
        <w:rPr>
          <w:lang w:val="ro-RO"/>
        </w:rPr>
        <w:t>”.</w:t>
      </w:r>
    </w:p>
  </w:footnote>
  <w:footnote w:id="8">
    <w:p w14:paraId="10B2F06B" w14:textId="77777777" w:rsidR="00B447BA" w:rsidRDefault="004E01FB">
      <w:pPr>
        <w:pStyle w:val="Footnote"/>
        <w:spacing w:line="360" w:lineRule="auto"/>
        <w:jc w:val="both"/>
      </w:pPr>
      <w:r>
        <w:rPr>
          <w:rStyle w:val="FootnoteReference"/>
        </w:rPr>
        <w:footnoteRef/>
      </w:r>
      <w:r>
        <w:rPr>
          <w:lang w:val="ro-RO"/>
        </w:rPr>
        <w:t>Comunicare a Comisiei către Parlamentul european, Consiliul european, Consiliu, Comitetul economic și social european și Comitetul regiunilor, Bruxelles, 25 april</w:t>
      </w:r>
      <w:r>
        <w:rPr>
          <w:lang w:val="ro-RO"/>
        </w:rPr>
        <w:t xml:space="preserve">ie 2018, </w:t>
      </w:r>
      <w:hyperlink r:id="rId3" w:history="1">
        <w:r>
          <w:t>https://eur-lex.europa.eu/legal-content/RO/TXT/PDF/?uri=CELEX:52018DC0237&amp;from=RO</w:t>
        </w:r>
      </w:hyperlink>
      <w:r>
        <w:rPr>
          <w:lang w:val="ro-RO"/>
        </w:rPr>
        <w:t>, p. 8.</w:t>
      </w:r>
    </w:p>
  </w:footnote>
  <w:footnote w:id="9">
    <w:p w14:paraId="3BBDE3BB" w14:textId="77777777" w:rsidR="00B447BA" w:rsidRDefault="004E01FB">
      <w:pPr>
        <w:pStyle w:val="Footnote"/>
        <w:spacing w:line="360" w:lineRule="auto"/>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w:t>
      </w:r>
      <w:r>
        <w:rPr>
          <w:lang w:val="ro-RO"/>
        </w:rPr>
        <w:t xml:space="preserve">Law </w:t>
      </w:r>
      <w:proofErr w:type="spellStart"/>
      <w:r>
        <w:rPr>
          <w:lang w:val="ro-RO"/>
        </w:rPr>
        <w:t>Societies</w:t>
      </w:r>
      <w:proofErr w:type="spellEnd"/>
      <w:r>
        <w:rPr>
          <w:lang w:val="ro-RO"/>
        </w:rPr>
        <w:t xml:space="preserve"> of Europe, </w:t>
      </w:r>
      <w:proofErr w:type="spellStart"/>
      <w:r>
        <w:rPr>
          <w:i/>
          <w:iCs/>
          <w:lang w:val="ro-RO"/>
        </w:rPr>
        <w:t>Guide</w:t>
      </w:r>
      <w:proofErr w:type="spellEnd"/>
      <w:r>
        <w:rPr>
          <w:i/>
          <w:iCs/>
          <w:lang w:val="ro-RO"/>
        </w:rPr>
        <w:t xml:space="preserve">..., op. cit, </w:t>
      </w:r>
      <w:r>
        <w:rPr>
          <w:lang w:val="ro-RO"/>
        </w:rPr>
        <w:t xml:space="preserve">p. 17. </w:t>
      </w:r>
      <w:r>
        <w:rPr>
          <w:i/>
          <w:iCs/>
          <w:lang w:val="ro-RO"/>
        </w:rPr>
        <w:t xml:space="preserve"> </w:t>
      </w:r>
    </w:p>
  </w:footnote>
  <w:footnote w:id="10">
    <w:p w14:paraId="7ED652DF" w14:textId="77777777" w:rsidR="00B447BA" w:rsidRDefault="004E01FB">
      <w:pPr>
        <w:pStyle w:val="Footnote"/>
        <w:spacing w:line="360" w:lineRule="auto"/>
        <w:jc w:val="both"/>
      </w:pPr>
      <w:r>
        <w:rPr>
          <w:rStyle w:val="FootnoteReference"/>
        </w:rPr>
        <w:footnoteRef/>
      </w:r>
      <w:r>
        <w:rPr>
          <w:lang w:val="ro-RO"/>
        </w:rPr>
        <w:t>Comunicare a Comisiei către Parlamentul european, Consiliul european, Consiliu, Comitetul economic și social european și Comitetul r</w:t>
      </w:r>
      <w:r>
        <w:rPr>
          <w:lang w:val="ro-RO"/>
        </w:rPr>
        <w:t>egiunilor, Bruxelles, 25 aprilie 2018, p. 10.</w:t>
      </w:r>
    </w:p>
  </w:footnote>
  <w:footnote w:id="11">
    <w:p w14:paraId="7F364253" w14:textId="77777777" w:rsidR="00B447BA" w:rsidRDefault="004E01FB">
      <w:pPr>
        <w:pStyle w:val="Footnote"/>
        <w:jc w:val="both"/>
      </w:pPr>
      <w:r>
        <w:rPr>
          <w:rStyle w:val="FootnoteReference"/>
        </w:rPr>
        <w:footnoteRef/>
      </w:r>
      <w:r>
        <w:rPr>
          <w:lang w:val="ro-RO"/>
        </w:rPr>
        <w:t>Idem, p. 11: ”</w:t>
      </w:r>
      <w:r>
        <w:rPr>
          <w:b/>
          <w:bCs/>
          <w:i/>
          <w:iCs/>
          <w:lang w:val="ro-RO"/>
        </w:rPr>
        <w:t>Învățarea profundă</w:t>
      </w:r>
      <w:r>
        <w:rPr>
          <w:i/>
          <w:iCs/>
          <w:lang w:val="ro-RO"/>
        </w:rPr>
        <w:t xml:space="preserve"> a reprezentat o schimbare radicală pentru IA, cu o îmbunătățire imensă a </w:t>
      </w:r>
      <w:proofErr w:type="spellStart"/>
      <w:r>
        <w:rPr>
          <w:i/>
          <w:iCs/>
          <w:lang w:val="ro-RO"/>
        </w:rPr>
        <w:t>performaței</w:t>
      </w:r>
      <w:proofErr w:type="spellEnd"/>
      <w:r>
        <w:rPr>
          <w:i/>
          <w:iCs/>
          <w:lang w:val="ro-RO"/>
        </w:rPr>
        <w:t xml:space="preserve"> pentru sarcinile specifice, precum recunoașterea imaginii sau a v</w:t>
      </w:r>
      <w:r>
        <w:rPr>
          <w:i/>
          <w:iCs/>
          <w:lang w:val="ro-RO"/>
        </w:rPr>
        <w:t>ocii ori traducerea automată. Instruirea unui algoritm de învățare profundă pentru a clasifica obiecte funcționează prin expunerea acestuia la un număr mare de exemple etichetate (de ex. Imagini) care sunt corect clasificate (de ex. imagini de avioane). Od</w:t>
      </w:r>
      <w:r>
        <w:rPr>
          <w:i/>
          <w:iCs/>
          <w:lang w:val="ro-RO"/>
        </w:rPr>
        <w:t xml:space="preserve">ată instruiți, algoritmii pot clasifica corect obiectele pe care nu le-au văzut niciodată, în unele cazuri cu o precizie care depășește </w:t>
      </w:r>
      <w:proofErr w:type="spellStart"/>
      <w:r>
        <w:rPr>
          <w:i/>
          <w:iCs/>
          <w:lang w:val="ro-RO"/>
        </w:rPr>
        <w:t>perfomanțele</w:t>
      </w:r>
      <w:proofErr w:type="spellEnd"/>
      <w:r>
        <w:rPr>
          <w:i/>
          <w:iCs/>
          <w:lang w:val="ro-RO"/>
        </w:rPr>
        <w:t xml:space="preserve"> oamenilor. S-au făcut progrese semnificative în ceea ce privește aceste tehnologii prin utilizarea seturilo</w:t>
      </w:r>
      <w:r>
        <w:rPr>
          <w:i/>
          <w:iCs/>
          <w:lang w:val="ro-RO"/>
        </w:rPr>
        <w:t>r mari de date și a puterii de calcul fără precedent.</w:t>
      </w:r>
      <w:r>
        <w:rPr>
          <w:lang w:val="ro-RO"/>
        </w:rPr>
        <w:t>”.</w:t>
      </w:r>
    </w:p>
  </w:footnote>
  <w:footnote w:id="12">
    <w:p w14:paraId="5F9B5A2B" w14:textId="77777777" w:rsidR="00B447BA" w:rsidRDefault="004E01FB">
      <w:pPr>
        <w:pStyle w:val="Footnote"/>
        <w:spacing w:line="360" w:lineRule="auto"/>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Europe, </w:t>
      </w:r>
      <w:proofErr w:type="spellStart"/>
      <w:r>
        <w:rPr>
          <w:i/>
          <w:iCs/>
          <w:lang w:val="ro-RO"/>
        </w:rPr>
        <w:t>Guide</w:t>
      </w:r>
      <w:proofErr w:type="spellEnd"/>
      <w:r>
        <w:rPr>
          <w:i/>
          <w:iCs/>
          <w:lang w:val="ro-RO"/>
        </w:rPr>
        <w:t xml:space="preserve">..., op. Cit., </w:t>
      </w:r>
      <w:r>
        <w:rPr>
          <w:lang w:val="ro-RO"/>
        </w:rPr>
        <w:t>p. 5.</w:t>
      </w:r>
    </w:p>
  </w:footnote>
  <w:footnote w:id="13">
    <w:p w14:paraId="65DF12BD" w14:textId="77777777" w:rsidR="00B447BA" w:rsidRDefault="004E01FB">
      <w:pPr>
        <w:pStyle w:val="Footnote"/>
        <w:spacing w:line="360" w:lineRule="auto"/>
        <w:jc w:val="both"/>
      </w:pPr>
      <w:r>
        <w:rPr>
          <w:rStyle w:val="FootnoteReference"/>
        </w:rPr>
        <w:footnoteRef/>
      </w:r>
      <w:r>
        <w:t>E</w:t>
      </w:r>
      <w:proofErr w:type="spellStart"/>
      <w:r>
        <w:rPr>
          <w:lang w:val="ro-RO"/>
        </w:rPr>
        <w:t>uropean</w:t>
      </w:r>
      <w:proofErr w:type="spellEnd"/>
      <w:r>
        <w:t xml:space="preserve"> </w:t>
      </w:r>
      <w:proofErr w:type="spellStart"/>
      <w:r>
        <w:rPr>
          <w:lang w:val="ro-RO"/>
        </w:rPr>
        <w:t>Commission</w:t>
      </w:r>
      <w:proofErr w:type="spellEnd"/>
      <w:r>
        <w:rPr>
          <w:lang w:val="ro-RO"/>
        </w:rPr>
        <w:t xml:space="preserve"> for the </w:t>
      </w:r>
      <w:proofErr w:type="spellStart"/>
      <w:r>
        <w:rPr>
          <w:lang w:val="ro-RO"/>
        </w:rPr>
        <w:t>efficiency</w:t>
      </w:r>
      <w:proofErr w:type="spellEnd"/>
      <w:r>
        <w:rPr>
          <w:lang w:val="ro-RO"/>
        </w:rPr>
        <w:t xml:space="preserve"> of </w:t>
      </w:r>
      <w:proofErr w:type="spellStart"/>
      <w:r>
        <w:rPr>
          <w:lang w:val="ro-RO"/>
        </w:rPr>
        <w:t>justice</w:t>
      </w:r>
      <w:proofErr w:type="spellEnd"/>
      <w:r>
        <w:rPr>
          <w:lang w:val="ro-RO"/>
        </w:rPr>
        <w:t xml:space="preserve"> (CEPEJ), </w:t>
      </w:r>
      <w:r>
        <w:rPr>
          <w:i/>
          <w:iCs/>
        </w:rPr>
        <w:t xml:space="preserve">Guidelines on electronic </w:t>
      </w:r>
      <w:r>
        <w:rPr>
          <w:i/>
          <w:iCs/>
        </w:rPr>
        <w:t>court filing (e-filing) and digitalisation of courts</w:t>
      </w:r>
      <w:r>
        <w:t xml:space="preserve">, Strasbourg, </w:t>
      </w:r>
      <w:r>
        <w:rPr>
          <w:lang w:val="ro-RO"/>
        </w:rPr>
        <w:t>8-9 decembrie 2021,</w:t>
      </w:r>
      <w:r>
        <w:t xml:space="preserve"> </w:t>
      </w:r>
      <w:r>
        <w:rPr>
          <w:lang w:val="ro-RO"/>
        </w:rPr>
        <w:t xml:space="preserve">disponibil la </w:t>
      </w:r>
      <w:hyperlink r:id="rId4" w:history="1">
        <w:r>
          <w:t>https://rm.coe.int/cepej-2021-15-en-e-filing-guidelines-digitalisation-courts/1680a4cf87</w:t>
        </w:r>
      </w:hyperlink>
      <w:r>
        <w:t xml:space="preserve">, </w:t>
      </w:r>
      <w:r>
        <w:rPr>
          <w:lang w:val="ro-RO"/>
        </w:rPr>
        <w:t>paragrafele nr. 59, nr. 60 și nr. 65, p. 12</w:t>
      </w:r>
    </w:p>
  </w:footnote>
  <w:footnote w:id="14">
    <w:p w14:paraId="39DEC4D0" w14:textId="77777777" w:rsidR="00B447BA" w:rsidRDefault="004E01FB">
      <w:pPr>
        <w:pStyle w:val="Footnote"/>
        <w:spacing w:line="360" w:lineRule="auto"/>
        <w:jc w:val="both"/>
      </w:pPr>
      <w:r>
        <w:rPr>
          <w:rStyle w:val="FootnoteReference"/>
        </w:rPr>
        <w:footnoteRef/>
      </w:r>
      <w:r>
        <w:rPr>
          <w:lang w:val="ro-RO"/>
        </w:rPr>
        <w:t xml:space="preserve">Concluzie desprinsă din 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w:t>
      </w:r>
      <w:r>
        <w:rPr>
          <w:lang w:val="ro-RO"/>
        </w:rPr>
        <w:t xml:space="preserve">rope, </w:t>
      </w:r>
      <w:proofErr w:type="spellStart"/>
      <w:r>
        <w:rPr>
          <w:i/>
          <w:iCs/>
          <w:lang w:val="ro-RO"/>
        </w:rPr>
        <w:t>Guide</w:t>
      </w:r>
      <w:proofErr w:type="spellEnd"/>
      <w:r>
        <w:rPr>
          <w:i/>
          <w:iCs/>
          <w:lang w:val="ro-RO"/>
        </w:rPr>
        <w:t xml:space="preserve">..., op. Cit., </w:t>
      </w:r>
      <w:r>
        <w:rPr>
          <w:lang w:val="ro-RO"/>
        </w:rPr>
        <w:t>capitolul 8, par. nr. 2, p.53.</w:t>
      </w:r>
    </w:p>
  </w:footnote>
  <w:footnote w:id="15">
    <w:p w14:paraId="32312579" w14:textId="77777777" w:rsidR="00B447BA" w:rsidRDefault="004E01FB">
      <w:pPr>
        <w:pStyle w:val="Footnote"/>
        <w:spacing w:line="360" w:lineRule="auto"/>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Europe, </w:t>
      </w:r>
      <w:proofErr w:type="spellStart"/>
      <w:r>
        <w:rPr>
          <w:i/>
          <w:iCs/>
          <w:lang w:val="ro-RO"/>
        </w:rPr>
        <w:t>Guide</w:t>
      </w:r>
      <w:proofErr w:type="spellEnd"/>
      <w:r>
        <w:rPr>
          <w:i/>
          <w:iCs/>
          <w:lang w:val="ro-RO"/>
        </w:rPr>
        <w:t xml:space="preserve"> on the </w:t>
      </w:r>
      <w:proofErr w:type="spellStart"/>
      <w:r>
        <w:rPr>
          <w:i/>
          <w:iCs/>
          <w:lang w:val="ro-RO"/>
        </w:rPr>
        <w:t>use</w:t>
      </w:r>
      <w:proofErr w:type="spellEnd"/>
      <w:r>
        <w:rPr>
          <w:i/>
          <w:iCs/>
          <w:lang w:val="ro-RO"/>
        </w:rPr>
        <w:t xml:space="preserve"> of </w:t>
      </w:r>
      <w:proofErr w:type="spellStart"/>
      <w:r>
        <w:rPr>
          <w:i/>
          <w:iCs/>
          <w:lang w:val="ro-RO"/>
        </w:rPr>
        <w:t>Aritificial</w:t>
      </w:r>
      <w:proofErr w:type="spellEnd"/>
      <w:r>
        <w:rPr>
          <w:i/>
          <w:iCs/>
          <w:lang w:val="ro-RO"/>
        </w:rPr>
        <w:t xml:space="preserve"> Intelligence-</w:t>
      </w:r>
      <w:proofErr w:type="spellStart"/>
      <w:r>
        <w:rPr>
          <w:i/>
          <w:iCs/>
          <w:lang w:val="ro-RO"/>
        </w:rPr>
        <w:t>based</w:t>
      </w:r>
      <w:proofErr w:type="spellEnd"/>
      <w:r>
        <w:rPr>
          <w:i/>
          <w:iCs/>
          <w:lang w:val="ro-RO"/>
        </w:rPr>
        <w:t xml:space="preserve"> </w:t>
      </w:r>
      <w:proofErr w:type="spellStart"/>
      <w:r>
        <w:rPr>
          <w:i/>
          <w:iCs/>
          <w:lang w:val="ro-RO"/>
        </w:rPr>
        <w:t>tools</w:t>
      </w:r>
      <w:proofErr w:type="spellEnd"/>
      <w:r>
        <w:rPr>
          <w:i/>
          <w:iCs/>
          <w:lang w:val="ro-RO"/>
        </w:rPr>
        <w:t xml:space="preserve"> </w:t>
      </w:r>
      <w:proofErr w:type="spellStart"/>
      <w:r>
        <w:rPr>
          <w:i/>
          <w:iCs/>
          <w:lang w:val="ro-RO"/>
        </w:rPr>
        <w:t>by</w:t>
      </w:r>
      <w:proofErr w:type="spellEnd"/>
      <w:r>
        <w:rPr>
          <w:i/>
          <w:iCs/>
          <w:lang w:val="ro-RO"/>
        </w:rPr>
        <w:t xml:space="preserve"> </w:t>
      </w:r>
      <w:proofErr w:type="spellStart"/>
      <w:r>
        <w:rPr>
          <w:i/>
          <w:iCs/>
          <w:lang w:val="ro-RO"/>
        </w:rPr>
        <w:t>lawyers</w:t>
      </w:r>
      <w:proofErr w:type="spellEnd"/>
      <w:r>
        <w:rPr>
          <w:i/>
          <w:iCs/>
          <w:lang w:val="ro-RO"/>
        </w:rPr>
        <w:t xml:space="preserve"> </w:t>
      </w:r>
      <w:proofErr w:type="spellStart"/>
      <w:r>
        <w:rPr>
          <w:i/>
          <w:iCs/>
          <w:lang w:val="ro-RO"/>
        </w:rPr>
        <w:t>and</w:t>
      </w:r>
      <w:proofErr w:type="spellEnd"/>
      <w:r>
        <w:rPr>
          <w:i/>
          <w:iCs/>
          <w:lang w:val="ro-RO"/>
        </w:rPr>
        <w:t xml:space="preserve"> </w:t>
      </w:r>
      <w:proofErr w:type="spellStart"/>
      <w:r>
        <w:rPr>
          <w:i/>
          <w:iCs/>
          <w:lang w:val="ro-RO"/>
        </w:rPr>
        <w:t>law</w:t>
      </w:r>
      <w:proofErr w:type="spellEnd"/>
      <w:r>
        <w:rPr>
          <w:i/>
          <w:iCs/>
          <w:lang w:val="ro-RO"/>
        </w:rPr>
        <w:t xml:space="preserve"> </w:t>
      </w:r>
      <w:proofErr w:type="spellStart"/>
      <w:r>
        <w:rPr>
          <w:i/>
          <w:iCs/>
          <w:lang w:val="ro-RO"/>
        </w:rPr>
        <w:t>firms</w:t>
      </w:r>
      <w:proofErr w:type="spellEnd"/>
      <w:r>
        <w:rPr>
          <w:i/>
          <w:iCs/>
          <w:lang w:val="ro-RO"/>
        </w:rPr>
        <w:t xml:space="preserve"> in the EU</w:t>
      </w:r>
      <w:r>
        <w:rPr>
          <w:lang w:val="ro-RO"/>
        </w:rPr>
        <w:t>, 2022, p. 31.</w:t>
      </w:r>
    </w:p>
  </w:footnote>
  <w:footnote w:id="16">
    <w:p w14:paraId="2277587E" w14:textId="77777777" w:rsidR="00B447BA" w:rsidRDefault="004E01FB">
      <w:pPr>
        <w:pStyle w:val="Footnote"/>
        <w:spacing w:line="360" w:lineRule="auto"/>
        <w:jc w:val="both"/>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Europe, ”</w:t>
      </w:r>
      <w:r>
        <w:rPr>
          <w:i/>
          <w:iCs/>
          <w:lang w:val="ro-RO"/>
        </w:rPr>
        <w:t xml:space="preserve">CCBE </w:t>
      </w:r>
      <w:proofErr w:type="spellStart"/>
      <w:r>
        <w:rPr>
          <w:i/>
          <w:iCs/>
          <w:lang w:val="ro-RO"/>
        </w:rPr>
        <w:t>Considerations</w:t>
      </w:r>
      <w:proofErr w:type="spellEnd"/>
      <w:r>
        <w:rPr>
          <w:i/>
          <w:iCs/>
          <w:lang w:val="ro-RO"/>
        </w:rPr>
        <w:t xml:space="preserve"> on the Legal </w:t>
      </w:r>
      <w:proofErr w:type="spellStart"/>
      <w:r>
        <w:rPr>
          <w:i/>
          <w:iCs/>
          <w:lang w:val="ro-RO"/>
        </w:rPr>
        <w:t>Aspects</w:t>
      </w:r>
      <w:proofErr w:type="spellEnd"/>
      <w:r>
        <w:rPr>
          <w:i/>
          <w:iCs/>
          <w:lang w:val="ro-RO"/>
        </w:rPr>
        <w:t xml:space="preserve"> of </w:t>
      </w:r>
      <w:r>
        <w:rPr>
          <w:i/>
          <w:iCs/>
          <w:lang w:val="ro-RO"/>
        </w:rPr>
        <w:t>AI</w:t>
      </w:r>
      <w:r>
        <w:rPr>
          <w:lang w:val="ro-RO"/>
        </w:rPr>
        <w:t xml:space="preserve">”, 2020,  </w:t>
      </w:r>
      <w:hyperlink r:id="rId5" w:history="1">
        <w:r>
          <w:rPr>
            <w:lang w:val="ro-RO"/>
          </w:rPr>
          <w:t>https://www.ccbe.eu/fileadmin/speciality_distribution/p</w:t>
        </w:r>
        <w:r>
          <w:rPr>
            <w:lang w:val="ro-RO"/>
          </w:rPr>
          <w:t>ublic/documents/IT_LAW/ITL_Guides_recommendations/EN_ITL_20200220_CCBE-considerations-on-the-Legal-Aspects-of-AI.pdf</w:t>
        </w:r>
      </w:hyperlink>
      <w:r>
        <w:rPr>
          <w:lang w:val="ro-RO"/>
        </w:rPr>
        <w:t>, par. nr. 3, p. 17.</w:t>
      </w:r>
    </w:p>
  </w:footnote>
  <w:footnote w:id="17">
    <w:p w14:paraId="578AA2D4" w14:textId="77777777" w:rsidR="00B447BA" w:rsidRDefault="004E01FB">
      <w:pPr>
        <w:pStyle w:val="Footnote"/>
      </w:pPr>
      <w:r>
        <w:rPr>
          <w:rStyle w:val="FootnoteReference"/>
        </w:rPr>
        <w:footnoteRef/>
      </w:r>
      <w:hyperlink r:id="rId6" w:history="1">
        <w:r>
          <w:rPr>
            <w:lang w:val="ro-RO"/>
          </w:rPr>
          <w:t>https://www.unbr.ro/codul-deontologic-al-avocatilor-din-uniunea-europeana-2/</w:t>
        </w:r>
      </w:hyperlink>
    </w:p>
  </w:footnote>
  <w:footnote w:id="18">
    <w:p w14:paraId="7C957CAC" w14:textId="77777777" w:rsidR="00B447BA" w:rsidRDefault="004E01FB">
      <w:pPr>
        <w:pStyle w:val="Footnote"/>
        <w:spacing w:line="360" w:lineRule="auto"/>
        <w:jc w:val="both"/>
      </w:pPr>
      <w:r>
        <w:rPr>
          <w:rStyle w:val="FootnoteReference"/>
        </w:rPr>
        <w:footnoteRef/>
      </w:r>
      <w:r>
        <w:rPr>
          <w:lang w:val="ro-RO"/>
        </w:rPr>
        <w:t>Principiile fundamentale prevăzute de Codul deontologic al Avocaților din Uniunea Europeană sunt:</w:t>
      </w:r>
    </w:p>
    <w:p w14:paraId="0DDCD4A3" w14:textId="77777777" w:rsidR="00B447BA" w:rsidRDefault="004E01FB">
      <w:pPr>
        <w:pStyle w:val="Footnote"/>
        <w:spacing w:line="360" w:lineRule="auto"/>
        <w:jc w:val="both"/>
        <w:rPr>
          <w:lang w:val="ro-RO"/>
        </w:rPr>
      </w:pPr>
      <w:r>
        <w:rPr>
          <w:lang w:val="ro-RO"/>
        </w:rPr>
        <w:t>(a) independența;</w:t>
      </w:r>
    </w:p>
    <w:p w14:paraId="6BD63852" w14:textId="77777777" w:rsidR="00B447BA" w:rsidRDefault="004E01FB">
      <w:pPr>
        <w:pStyle w:val="Footnote"/>
        <w:spacing w:line="360" w:lineRule="auto"/>
        <w:jc w:val="both"/>
        <w:rPr>
          <w:lang w:val="ro-RO"/>
        </w:rPr>
      </w:pPr>
      <w:r>
        <w:rPr>
          <w:lang w:val="ro-RO"/>
        </w:rPr>
        <w:t>(b) încrederea și integritatea morală;</w:t>
      </w:r>
    </w:p>
    <w:p w14:paraId="143B8A18" w14:textId="77777777" w:rsidR="00B447BA" w:rsidRDefault="004E01FB">
      <w:pPr>
        <w:pStyle w:val="Footnote"/>
        <w:spacing w:line="360" w:lineRule="auto"/>
        <w:jc w:val="both"/>
        <w:rPr>
          <w:lang w:val="ro-RO"/>
        </w:rPr>
      </w:pPr>
      <w:r>
        <w:rPr>
          <w:lang w:val="ro-RO"/>
        </w:rPr>
        <w:t>(c) secretul profesional;</w:t>
      </w:r>
    </w:p>
    <w:p w14:paraId="4B2D6833" w14:textId="77777777" w:rsidR="00B447BA" w:rsidRDefault="004E01FB">
      <w:pPr>
        <w:pStyle w:val="Footnote"/>
        <w:spacing w:line="360" w:lineRule="auto"/>
        <w:jc w:val="both"/>
        <w:rPr>
          <w:lang w:val="ro-RO"/>
        </w:rPr>
      </w:pPr>
      <w:r>
        <w:rPr>
          <w:lang w:val="ro-RO"/>
        </w:rPr>
        <w:t>(d) respectarea deontologiei altor barouri;</w:t>
      </w:r>
    </w:p>
    <w:p w14:paraId="2803502F" w14:textId="77777777" w:rsidR="00B447BA" w:rsidRDefault="004E01FB">
      <w:pPr>
        <w:pStyle w:val="Footnote"/>
        <w:spacing w:line="360" w:lineRule="auto"/>
        <w:jc w:val="both"/>
        <w:rPr>
          <w:lang w:val="ro-RO"/>
        </w:rPr>
      </w:pPr>
      <w:r>
        <w:rPr>
          <w:lang w:val="ro-RO"/>
        </w:rPr>
        <w:t xml:space="preserve">(e) </w:t>
      </w:r>
      <w:r>
        <w:rPr>
          <w:lang w:val="ro-RO"/>
        </w:rPr>
        <w:t xml:space="preserve">respectarea </w:t>
      </w:r>
      <w:proofErr w:type="spellStart"/>
      <w:r>
        <w:rPr>
          <w:lang w:val="ro-RO"/>
        </w:rPr>
        <w:t>incompatibiltăților</w:t>
      </w:r>
      <w:proofErr w:type="spellEnd"/>
      <w:r>
        <w:rPr>
          <w:lang w:val="ro-RO"/>
        </w:rPr>
        <w:t xml:space="preserve"> prevăzute de lege;</w:t>
      </w:r>
    </w:p>
    <w:p w14:paraId="2227E4E1" w14:textId="77777777" w:rsidR="00B447BA" w:rsidRDefault="004E01FB">
      <w:pPr>
        <w:pStyle w:val="Footnote"/>
        <w:spacing w:line="360" w:lineRule="auto"/>
        <w:jc w:val="both"/>
        <w:rPr>
          <w:lang w:val="ro-RO"/>
        </w:rPr>
      </w:pPr>
      <w:r>
        <w:rPr>
          <w:lang w:val="ro-RO"/>
        </w:rPr>
        <w:t>(f) publicitatea profesională conform principiilor esențiale ale profesiei;</w:t>
      </w:r>
    </w:p>
    <w:p w14:paraId="6F84625A" w14:textId="77777777" w:rsidR="00B447BA" w:rsidRDefault="004E01FB">
      <w:pPr>
        <w:pStyle w:val="Footnote"/>
        <w:spacing w:line="360" w:lineRule="auto"/>
        <w:jc w:val="both"/>
        <w:rPr>
          <w:lang w:val="ro-RO"/>
        </w:rPr>
      </w:pPr>
      <w:r>
        <w:rPr>
          <w:lang w:val="ro-RO"/>
        </w:rPr>
        <w:t>(g) interesul clientului;</w:t>
      </w:r>
    </w:p>
    <w:p w14:paraId="44BE1600" w14:textId="77777777" w:rsidR="00B447BA" w:rsidRDefault="004E01FB">
      <w:pPr>
        <w:pStyle w:val="Footnote"/>
        <w:spacing w:line="360" w:lineRule="auto"/>
        <w:jc w:val="both"/>
        <w:rPr>
          <w:lang w:val="ro-RO"/>
        </w:rPr>
      </w:pPr>
      <w:r>
        <w:rPr>
          <w:lang w:val="ro-RO"/>
        </w:rPr>
        <w:t>(h) limitarea răspunderii avocatului față de client, în conformitate cu regulile profesionale .</w:t>
      </w:r>
    </w:p>
  </w:footnote>
  <w:footnote w:id="19">
    <w:p w14:paraId="4B5EC8DA" w14:textId="77777777" w:rsidR="00B447BA" w:rsidRDefault="004E01FB">
      <w:pPr>
        <w:pStyle w:val="Footnote"/>
        <w:spacing w:line="360" w:lineRule="auto"/>
        <w:jc w:val="both"/>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Europe, </w:t>
      </w:r>
      <w:proofErr w:type="spellStart"/>
      <w:r>
        <w:rPr>
          <w:i/>
          <w:iCs/>
          <w:lang w:val="ro-RO"/>
        </w:rPr>
        <w:t>Guide</w:t>
      </w:r>
      <w:proofErr w:type="spellEnd"/>
      <w:r>
        <w:rPr>
          <w:i/>
          <w:iCs/>
          <w:lang w:val="ro-RO"/>
        </w:rPr>
        <w:t>..., op. cit.</w:t>
      </w:r>
      <w:r>
        <w:rPr>
          <w:lang w:val="ro-RO"/>
        </w:rPr>
        <w:t>, p. 7.</w:t>
      </w:r>
    </w:p>
  </w:footnote>
  <w:footnote w:id="20">
    <w:p w14:paraId="0E4C3EA5" w14:textId="77777777" w:rsidR="00B447BA" w:rsidRDefault="004E01FB">
      <w:pPr>
        <w:pStyle w:val="Footnote"/>
        <w:spacing w:line="360" w:lineRule="auto"/>
        <w:jc w:val="both"/>
      </w:pPr>
      <w:r>
        <w:rPr>
          <w:rStyle w:val="FootnoteReference"/>
        </w:rPr>
        <w:footnoteRef/>
      </w:r>
      <w:r>
        <w:rPr>
          <w:lang w:val="ro-RO"/>
        </w:rPr>
        <w:t>Art. 133 din Statutul profesiei de avocat, adoptat prin Hotărârea Consiliului U.N.B.R. nr. 64/2011 (</w:t>
      </w:r>
      <w:proofErr w:type="spellStart"/>
      <w:r>
        <w:rPr>
          <w:lang w:val="ro-RO"/>
        </w:rPr>
        <w:t>M.Of</w:t>
      </w:r>
      <w:proofErr w:type="spellEnd"/>
      <w:r>
        <w:rPr>
          <w:lang w:val="ro-RO"/>
        </w:rPr>
        <w:t>. nr. 898 din 19 decembrie 2011): ”</w:t>
      </w:r>
      <w:r>
        <w:rPr>
          <w:i/>
          <w:iCs/>
          <w:lang w:val="ro-RO"/>
        </w:rPr>
        <w:t>(2)Avocatul trebuie să asiste și să reprezinte clientul cu competen</w:t>
      </w:r>
      <w:r>
        <w:rPr>
          <w:i/>
          <w:iCs/>
          <w:lang w:val="ro-RO"/>
        </w:rPr>
        <w:t>ț</w:t>
      </w:r>
      <w:r>
        <w:rPr>
          <w:i/>
          <w:iCs/>
          <w:lang w:val="ro-RO"/>
        </w:rPr>
        <w:t>ă profesională, prin folosirea cunoștințelor juridice adecvate, a abilităților practice specifice și prin pregătirea rezonabil necesară pentru asistarea sau reprezentarea concretă a clientului</w:t>
      </w:r>
      <w:r>
        <w:rPr>
          <w:lang w:val="ro-RO"/>
        </w:rPr>
        <w:t>”.</w:t>
      </w:r>
    </w:p>
  </w:footnote>
  <w:footnote w:id="21">
    <w:p w14:paraId="1E0C058D" w14:textId="77777777" w:rsidR="00B447BA" w:rsidRDefault="004E01FB">
      <w:pPr>
        <w:pStyle w:val="Footnote"/>
        <w:spacing w:line="360" w:lineRule="auto"/>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Europe, </w:t>
      </w:r>
      <w:proofErr w:type="spellStart"/>
      <w:r>
        <w:rPr>
          <w:i/>
          <w:iCs/>
          <w:lang w:val="ro-RO"/>
        </w:rPr>
        <w:t>Guide</w:t>
      </w:r>
      <w:proofErr w:type="spellEnd"/>
      <w:r>
        <w:rPr>
          <w:i/>
          <w:iCs/>
          <w:lang w:val="ro-RO"/>
        </w:rPr>
        <w:t xml:space="preserve">..., op. cit., </w:t>
      </w:r>
      <w:r>
        <w:rPr>
          <w:lang w:val="ro-RO"/>
        </w:rPr>
        <w:t>cap .7, p. 43.</w:t>
      </w:r>
    </w:p>
  </w:footnote>
  <w:footnote w:id="22">
    <w:p w14:paraId="4E3DC23F" w14:textId="77777777" w:rsidR="00B447BA" w:rsidRDefault="004E01FB">
      <w:pPr>
        <w:pStyle w:val="Footnote"/>
        <w:spacing w:line="360" w:lineRule="auto"/>
        <w:jc w:val="both"/>
      </w:pPr>
      <w:r>
        <w:rPr>
          <w:rStyle w:val="FootnoteReference"/>
        </w:rPr>
        <w:footnoteRef/>
      </w:r>
      <w:r>
        <w:t xml:space="preserve">Regulamentul (UE) nr. 679 din 27 aprilie 2016 privind protecția persoanelor fizice în ceea ce privește prelucrarea datelor cu caracter personal și privind libera circulație a acestor date și de abrogare a </w:t>
      </w:r>
      <w:r>
        <w:t xml:space="preserve">Directivei 95/46/CE (Regulamentul general privind protecția datelor), </w:t>
      </w:r>
      <w:r>
        <w:rPr>
          <w:lang w:val="ro-RO"/>
        </w:rPr>
        <w:t xml:space="preserve">rectificat la 4 mai 2016, </w:t>
      </w:r>
      <w:proofErr w:type="spellStart"/>
      <w:r>
        <w:rPr>
          <w:lang w:val="ro-RO"/>
        </w:rPr>
        <w:t>publictat</w:t>
      </w:r>
      <w:proofErr w:type="spellEnd"/>
      <w:r>
        <w:rPr>
          <w:lang w:val="ro-RO"/>
        </w:rPr>
        <w:t xml:space="preserve"> în </w:t>
      </w:r>
      <w:r>
        <w:t xml:space="preserve">Jurnalul Oficial al Uniunii Europene L 119 din 4 mai 2016, </w:t>
      </w:r>
      <w:r>
        <w:rPr>
          <w:lang w:val="ro-RO"/>
        </w:rPr>
        <w:t xml:space="preserve">art. 22 - </w:t>
      </w:r>
      <w:r>
        <w:rPr>
          <w:b/>
          <w:bCs/>
          <w:i/>
          <w:iCs/>
          <w:lang w:val="ro-RO"/>
        </w:rPr>
        <w:t>Procesul decizional individual automatizat, inclusiv crearea de profiluri</w:t>
      </w:r>
      <w:r>
        <w:rPr>
          <w:lang w:val="ro-RO"/>
        </w:rPr>
        <w:t>: ”</w:t>
      </w:r>
      <w:r>
        <w:rPr>
          <w:i/>
          <w:iCs/>
          <w:lang w:val="ro-RO"/>
        </w:rPr>
        <w:t>(1</w:t>
      </w:r>
      <w:r>
        <w:rPr>
          <w:i/>
          <w:iCs/>
          <w:lang w:val="ro-RO"/>
        </w:rPr>
        <w:t>) Persoana vizată are dreptul de a nu face obiectul unei decizii bazate exclusiv pe prelucrarea automată, inclusiv crearea de profiluri, care produce efecte juridice care privesc persoana vizată sau o afectează în mod similar într-o măsură semnificativă.</w:t>
      </w:r>
    </w:p>
    <w:p w14:paraId="3251C46D" w14:textId="77777777" w:rsidR="00B447BA" w:rsidRDefault="004E01FB">
      <w:pPr>
        <w:pStyle w:val="Footnote"/>
        <w:spacing w:line="360" w:lineRule="auto"/>
        <w:jc w:val="both"/>
      </w:pPr>
      <w:r>
        <w:rPr>
          <w:i/>
          <w:iCs/>
          <w:lang w:val="ro-RO"/>
        </w:rPr>
        <w:tab/>
      </w:r>
      <w:r>
        <w:rPr>
          <w:i/>
          <w:iCs/>
          <w:lang w:val="ro-RO"/>
        </w:rPr>
        <w:t>(2) Alineatul (1) nu se aplică în cazul în care decizia:</w:t>
      </w:r>
    </w:p>
    <w:p w14:paraId="05E965C3" w14:textId="77777777" w:rsidR="00B447BA" w:rsidRDefault="004E01FB">
      <w:pPr>
        <w:pStyle w:val="Footnote"/>
        <w:spacing w:line="360" w:lineRule="auto"/>
        <w:jc w:val="both"/>
      </w:pPr>
      <w:r>
        <w:rPr>
          <w:i/>
          <w:iCs/>
          <w:lang w:val="ro-RO"/>
        </w:rPr>
        <w:tab/>
        <w:t>(a) este necesară pentru încheierea sau executarea unui contract între persoana vizată și un operator de date;</w:t>
      </w:r>
    </w:p>
    <w:p w14:paraId="65F1AD59" w14:textId="77777777" w:rsidR="00B447BA" w:rsidRDefault="004E01FB">
      <w:pPr>
        <w:pStyle w:val="Footnote"/>
        <w:spacing w:line="360" w:lineRule="auto"/>
        <w:jc w:val="both"/>
      </w:pPr>
      <w:r>
        <w:rPr>
          <w:i/>
          <w:iCs/>
          <w:lang w:val="ro-RO"/>
        </w:rPr>
        <w:tab/>
        <w:t xml:space="preserve">(b) este autorizată prin dreptul Uniunii sau dreptul intern care se aplică </w:t>
      </w:r>
      <w:r>
        <w:rPr>
          <w:i/>
          <w:iCs/>
          <w:lang w:val="ro-RO"/>
        </w:rPr>
        <w:t>operatorului și care prevede, de asemenea, măsuri corespunzătoare pentru protejarea drepturilor, libertăților și intereselor legitime ale persoanei vizate; sau (c) are la bază consimțământul explicit al persoanei vizate.</w:t>
      </w:r>
      <w:r>
        <w:rPr>
          <w:lang w:val="ro-RO"/>
        </w:rPr>
        <w:t>”</w:t>
      </w:r>
    </w:p>
  </w:footnote>
  <w:footnote w:id="23">
    <w:p w14:paraId="0394226D" w14:textId="77777777" w:rsidR="00B447BA" w:rsidRDefault="004E01FB">
      <w:pPr>
        <w:pStyle w:val="Footnote"/>
        <w:spacing w:line="360" w:lineRule="auto"/>
        <w:jc w:val="both"/>
      </w:pPr>
      <w:r>
        <w:rPr>
          <w:rStyle w:val="FootnoteReference"/>
        </w:rPr>
        <w:footnoteRef/>
      </w:r>
      <w:r>
        <w:rPr>
          <w:lang w:val="ro-RO"/>
        </w:rPr>
        <w:t>Ghidul CCBE privind u</w:t>
      </w:r>
      <w:r>
        <w:rPr>
          <w:lang w:val="ro-RO"/>
        </w:rPr>
        <w:t xml:space="preserve">tilizarea platformelor online de către avocați, publicat pe pagina UNBR, iunie 2018, </w:t>
      </w:r>
      <w:hyperlink r:id="rId7" w:history="1">
        <w:r>
          <w:rPr>
            <w:lang w:val="ro-RO"/>
          </w:rPr>
          <w:t>https://www.unbr.ro/wp-content/uploads/2020/08/GHID-CCBE-pl</w:t>
        </w:r>
        <w:r>
          <w:rPr>
            <w:lang w:val="ro-RO"/>
          </w:rPr>
          <w:t>atformele-legale-ale-avocatilor.pdf</w:t>
        </w:r>
      </w:hyperlink>
      <w:r>
        <w:rPr>
          <w:lang w:val="ro-RO"/>
        </w:rPr>
        <w:t>.</w:t>
      </w:r>
    </w:p>
  </w:footnote>
  <w:footnote w:id="24">
    <w:p w14:paraId="64F96312" w14:textId="77777777" w:rsidR="00B447BA" w:rsidRDefault="004E01FB">
      <w:pPr>
        <w:pStyle w:val="Footnote"/>
        <w:spacing w:line="360" w:lineRule="auto"/>
        <w:jc w:val="both"/>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Europe, European </w:t>
      </w:r>
      <w:proofErr w:type="spellStart"/>
      <w:r>
        <w:rPr>
          <w:lang w:val="ro-RO"/>
        </w:rPr>
        <w:t>Lawyers</w:t>
      </w:r>
      <w:proofErr w:type="spellEnd"/>
      <w:r>
        <w:rPr>
          <w:lang w:val="ro-RO"/>
        </w:rPr>
        <w:t xml:space="preserve"> Foundation, </w:t>
      </w:r>
      <w:proofErr w:type="spellStart"/>
      <w:r>
        <w:rPr>
          <w:i/>
          <w:iCs/>
          <w:lang w:val="ro-RO"/>
        </w:rPr>
        <w:t>Overview</w:t>
      </w:r>
      <w:proofErr w:type="spellEnd"/>
      <w:r>
        <w:rPr>
          <w:i/>
          <w:iCs/>
          <w:lang w:val="ro-RO"/>
        </w:rPr>
        <w:t xml:space="preserve">..., </w:t>
      </w:r>
      <w:r>
        <w:rPr>
          <w:lang w:val="ro-RO"/>
        </w:rPr>
        <w:t>op. cit, p. 18.</w:t>
      </w:r>
    </w:p>
  </w:footnote>
  <w:footnote w:id="25">
    <w:p w14:paraId="4E5AA193" w14:textId="77777777" w:rsidR="00B447BA" w:rsidRDefault="004E01FB">
      <w:pPr>
        <w:pStyle w:val="Footnote"/>
      </w:pPr>
      <w:r>
        <w:rPr>
          <w:rStyle w:val="FootnoteReference"/>
        </w:rPr>
        <w:footnoteRef/>
      </w:r>
      <w:hyperlink r:id="rId8" w:history="1">
        <w:r>
          <w:t>https://mfe.gov.ro/wp-content/uploads/2021/10/facada6fdd5c00de72eecd8ab49da550.pdf</w:t>
        </w:r>
      </w:hyperlink>
      <w:r>
        <w:t xml:space="preserve">, </w:t>
      </w:r>
      <w:r>
        <w:rPr>
          <w:lang w:val="ro-RO"/>
        </w:rPr>
        <w:t>p. 19.</w:t>
      </w:r>
    </w:p>
  </w:footnote>
  <w:footnote w:id="26">
    <w:p w14:paraId="05F55DCC" w14:textId="77777777" w:rsidR="00B447BA" w:rsidRDefault="004E01FB">
      <w:pPr>
        <w:pStyle w:val="Footnote"/>
        <w:spacing w:line="360" w:lineRule="auto"/>
        <w:jc w:val="both"/>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Europe, European </w:t>
      </w:r>
      <w:proofErr w:type="spellStart"/>
      <w:r>
        <w:rPr>
          <w:lang w:val="ro-RO"/>
        </w:rPr>
        <w:t>Lawyers</w:t>
      </w:r>
      <w:proofErr w:type="spellEnd"/>
      <w:r>
        <w:rPr>
          <w:lang w:val="ro-RO"/>
        </w:rPr>
        <w:t xml:space="preserve"> Foundation, </w:t>
      </w:r>
      <w:proofErr w:type="spellStart"/>
      <w:r>
        <w:rPr>
          <w:i/>
          <w:iCs/>
          <w:lang w:val="ro-RO"/>
        </w:rPr>
        <w:t>Overview</w:t>
      </w:r>
      <w:proofErr w:type="spellEnd"/>
      <w:r>
        <w:rPr>
          <w:i/>
          <w:iCs/>
          <w:lang w:val="ro-RO"/>
        </w:rPr>
        <w:t xml:space="preserve">..., op. cit, </w:t>
      </w:r>
      <w:r>
        <w:rPr>
          <w:lang w:val="ro-RO"/>
        </w:rPr>
        <w:t xml:space="preserve"> par. 2.2.2, p. 10.</w:t>
      </w:r>
    </w:p>
  </w:footnote>
  <w:footnote w:id="27">
    <w:p w14:paraId="311C02F9" w14:textId="77777777" w:rsidR="00B447BA" w:rsidRDefault="004E01FB">
      <w:pPr>
        <w:pStyle w:val="Footnote"/>
        <w:spacing w:line="360" w:lineRule="auto"/>
      </w:pPr>
      <w:r>
        <w:rPr>
          <w:rStyle w:val="FootnoteReference"/>
        </w:rPr>
        <w:footnoteRef/>
      </w:r>
      <w:r>
        <w:rPr>
          <w:lang w:val="ro-RO"/>
        </w:rPr>
        <w:t xml:space="preserve">Council of </w:t>
      </w:r>
      <w:proofErr w:type="spellStart"/>
      <w:r>
        <w:rPr>
          <w:lang w:val="ro-RO"/>
        </w:rPr>
        <w:t>Ba</w:t>
      </w:r>
      <w:r>
        <w:rPr>
          <w:lang w:val="ro-RO"/>
        </w:rPr>
        <w:t>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Europe, </w:t>
      </w:r>
      <w:proofErr w:type="spellStart"/>
      <w:r>
        <w:rPr>
          <w:i/>
          <w:iCs/>
          <w:lang w:val="ro-RO"/>
        </w:rPr>
        <w:t>Guide</w:t>
      </w:r>
      <w:proofErr w:type="spellEnd"/>
      <w:r>
        <w:rPr>
          <w:i/>
          <w:iCs/>
          <w:lang w:val="ro-RO"/>
        </w:rPr>
        <w:t xml:space="preserve">..., op. Cit.  </w:t>
      </w:r>
      <w:r>
        <w:rPr>
          <w:lang w:val="ro-RO"/>
        </w:rPr>
        <w:t>Par. 6.3, p. 39.</w:t>
      </w:r>
    </w:p>
  </w:footnote>
  <w:footnote w:id="28">
    <w:p w14:paraId="1AAAD636" w14:textId="77777777" w:rsidR="00B447BA" w:rsidRDefault="004E01FB">
      <w:pPr>
        <w:pStyle w:val="Footnote"/>
        <w:spacing w:line="360" w:lineRule="auto"/>
      </w:pPr>
      <w:r>
        <w:rPr>
          <w:rStyle w:val="FootnoteReference"/>
        </w:rPr>
        <w:footnoteRef/>
      </w:r>
      <w:r>
        <w:rPr>
          <w:lang w:val="ro-RO"/>
        </w:rPr>
        <w:t xml:space="preserve">Council of </w:t>
      </w:r>
      <w:proofErr w:type="spellStart"/>
      <w:r>
        <w:rPr>
          <w:lang w:val="ro-RO"/>
        </w:rPr>
        <w:t>Bars</w:t>
      </w:r>
      <w:proofErr w:type="spellEnd"/>
      <w:r>
        <w:rPr>
          <w:lang w:val="ro-RO"/>
        </w:rPr>
        <w:t xml:space="preserve"> </w:t>
      </w:r>
      <w:proofErr w:type="spellStart"/>
      <w:r>
        <w:rPr>
          <w:lang w:val="ro-RO"/>
        </w:rPr>
        <w:t>and</w:t>
      </w:r>
      <w:proofErr w:type="spellEnd"/>
      <w:r>
        <w:rPr>
          <w:lang w:val="ro-RO"/>
        </w:rPr>
        <w:t xml:space="preserve"> Law </w:t>
      </w:r>
      <w:proofErr w:type="spellStart"/>
      <w:r>
        <w:rPr>
          <w:lang w:val="ro-RO"/>
        </w:rPr>
        <w:t>Societies</w:t>
      </w:r>
      <w:proofErr w:type="spellEnd"/>
      <w:r>
        <w:rPr>
          <w:lang w:val="ro-RO"/>
        </w:rPr>
        <w:t xml:space="preserve"> of Europe, </w:t>
      </w:r>
      <w:proofErr w:type="spellStart"/>
      <w:r>
        <w:rPr>
          <w:i/>
          <w:iCs/>
          <w:lang w:val="ro-RO"/>
        </w:rPr>
        <w:t>Guide</w:t>
      </w:r>
      <w:proofErr w:type="spellEnd"/>
      <w:r>
        <w:rPr>
          <w:i/>
          <w:iCs/>
          <w:lang w:val="ro-RO"/>
        </w:rPr>
        <w:t>..., op. Cit. ,</w:t>
      </w:r>
      <w:r>
        <w:rPr>
          <w:lang w:val="ro-RO"/>
        </w:rPr>
        <w:t xml:space="preserve"> p. 19.</w:t>
      </w:r>
    </w:p>
  </w:footnote>
  <w:footnote w:id="29">
    <w:p w14:paraId="26E8A199" w14:textId="77777777" w:rsidR="00B447BA" w:rsidRDefault="004E01FB">
      <w:pPr>
        <w:pStyle w:val="Footnote"/>
        <w:spacing w:line="360" w:lineRule="auto"/>
        <w:jc w:val="both"/>
      </w:pPr>
      <w:r>
        <w:rPr>
          <w:rStyle w:val="FootnoteReference"/>
        </w:rPr>
        <w:footnoteRef/>
      </w:r>
      <w:r>
        <w:rPr>
          <w:lang w:val="ro-RO"/>
        </w:rPr>
        <w:t xml:space="preserve">Conform Raportului European </w:t>
      </w:r>
      <w:proofErr w:type="spellStart"/>
      <w:r>
        <w:rPr>
          <w:lang w:val="ro-RO"/>
        </w:rPr>
        <w:t>Lawyers</w:t>
      </w:r>
      <w:proofErr w:type="spellEnd"/>
      <w:r>
        <w:rPr>
          <w:lang w:val="ro-RO"/>
        </w:rPr>
        <w:t xml:space="preserve"> Foundation, </w:t>
      </w:r>
      <w:proofErr w:type="spellStart"/>
      <w:r>
        <w:rPr>
          <w:i/>
          <w:iCs/>
          <w:lang w:val="ro-RO"/>
        </w:rPr>
        <w:t>Overview</w:t>
      </w:r>
      <w:proofErr w:type="spellEnd"/>
      <w:r>
        <w:rPr>
          <w:i/>
          <w:iCs/>
          <w:lang w:val="ro-RO"/>
        </w:rPr>
        <w:t xml:space="preserve">..., op. Cit, </w:t>
      </w:r>
      <w:r>
        <w:rPr>
          <w:lang w:val="ro-RO"/>
        </w:rPr>
        <w:t xml:space="preserve">p. 53, în anul 2018 în România a fost înregistrat un număr de 26.330 de avocați, spre deosebire de state cu o </w:t>
      </w:r>
      <w:r>
        <w:rPr>
          <w:lang w:val="ro-RO"/>
        </w:rPr>
        <w:t>suprafață mai mică precum Portugalia, cu un număr de 31.552 de avocați, Italia cu un număr de 261.891 de avocați sau precum state apropiate ca dimensiune cu România, precum Polonia, cu un număr aproape dublu de avocați, de 40.778 de avocați.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E646F"/>
    <w:multiLevelType w:val="multilevel"/>
    <w:tmpl w:val="95A8EB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E366104"/>
    <w:multiLevelType w:val="multilevel"/>
    <w:tmpl w:val="5746A9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EF43609"/>
    <w:multiLevelType w:val="multilevel"/>
    <w:tmpl w:val="7C0AE8A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79929512">
    <w:abstractNumId w:val="2"/>
  </w:num>
  <w:num w:numId="2" w16cid:durableId="958299188">
    <w:abstractNumId w:val="1"/>
  </w:num>
  <w:num w:numId="3" w16cid:durableId="167976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447BA"/>
    <w:rsid w:val="004E01FB"/>
    <w:rsid w:val="00902AE9"/>
    <w:rsid w:val="00B447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1B60"/>
  <w15:docId w15:val="{BF09422B-FB1D-410B-8F87-0B92A5AB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Heading"/>
    <w:next w:val="Textbody"/>
    <w:uiPriority w:val="9"/>
    <w:qFormat/>
    <w:pPr>
      <w:outlineLvl w:val="0"/>
    </w:pPr>
    <w:rPr>
      <w:rFonts w:ascii="Times New Roman" w:eastAsia="MS Gothic" w:hAnsi="Times New Roman"/>
      <w:b/>
      <w:bCs/>
      <w:sz w:val="48"/>
      <w:szCs w:val="48"/>
    </w:rPr>
  </w:style>
  <w:style w:type="paragraph" w:styleId="Heading2">
    <w:name w:val="heading 2"/>
    <w:basedOn w:val="Heading"/>
    <w:next w:val="Textbody"/>
    <w:uiPriority w:val="9"/>
    <w:semiHidden/>
    <w:unhideWhenUsed/>
    <w:qFormat/>
    <w:pPr>
      <w:outlineLvl w:val="1"/>
    </w:pPr>
    <w:rPr>
      <w:rFonts w:ascii="Times New Roman" w:eastAsia="MS Gothic"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styleId="Emphasis">
    <w:name w:val="Emphasis"/>
    <w:rPr>
      <w:i/>
      <w:iCs/>
    </w:rPr>
  </w:style>
  <w:style w:type="character" w:customStyle="1" w:styleId="BulletSymbols">
    <w:name w:val="Bullet Symbols"/>
    <w:rPr>
      <w:rFonts w:ascii="OpenSymbol" w:eastAsia="OpenSymbol" w:hAnsi="OpenSymbol" w:cs="OpenSymbol"/>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mfe.gov.ro/wp-content/uploads/2021/10/facada6fdd5c00de72eecd8ab49da550.pdf" TargetMode="External"/><Relationship Id="rId3" Type="http://schemas.openxmlformats.org/officeDocument/2006/relationships/hyperlink" Target="https://eur-lex.europa.eu/legal-content/RO/TXT/PDF/?uri=CELEX:52018DC0237&amp;from=RO" TargetMode="External"/><Relationship Id="rId7" Type="http://schemas.openxmlformats.org/officeDocument/2006/relationships/hyperlink" Target="https://www.unbr.ro/wp-content/uploads/2020/08/GHID-CCBE-platformele-legale-ale-avocatilor.pdf" TargetMode="External"/><Relationship Id="rId2" Type="http://schemas.openxmlformats.org/officeDocument/2006/relationships/hyperlink" Target="https://elf-fae.eu/wp-content/uploads/2021/12/Report-on-opportunities-and-barriers-in-the-use-of-NLP-tools-in-SME-law-practices.pdf" TargetMode="External"/><Relationship Id="rId1" Type="http://schemas.openxmlformats.org/officeDocument/2006/relationships/hyperlink" Target="http://elf-fae.eu/wp-content/uploads/2021/03/Overview-of-the-average-state-of-the-art-IT-capabilities-in-the-EU.pdf" TargetMode="External"/><Relationship Id="rId6" Type="http://schemas.openxmlformats.org/officeDocument/2006/relationships/hyperlink" Target="https://www.unbr.ro/codul-deontologic-al-avocatilor-din-uniunea-europeana-2/" TargetMode="External"/><Relationship Id="rId5" Type="http://schemas.openxmlformats.org/officeDocument/2006/relationships/hyperlink" Target="https://www.ccbe.eu/fileadmin/speciality_distribution/public/documents/IT_LAW/ITL_Guides_recommendations/EN_ITL_20200220_CCBE-considerations-on-the-Legal-Aspects-of-AI.pdf" TargetMode="External"/><Relationship Id="rId4" Type="http://schemas.openxmlformats.org/officeDocument/2006/relationships/hyperlink" Target="https://rm.coe.int/cepej-2021-15-en-e-filing-guidelines-digitalisation-courts/1680a4cf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2876</Words>
  <Characters>16682</Characters>
  <Application>Microsoft Office Word</Application>
  <DocSecurity>0</DocSecurity>
  <Lines>139</Lines>
  <Paragraphs>39</Paragraphs>
  <ScaleCrop>false</ScaleCrop>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Sandu Gherasim</cp:lastModifiedBy>
  <cp:revision>2</cp:revision>
  <dcterms:created xsi:type="dcterms:W3CDTF">2022-06-10T07:53:00Z</dcterms:created>
  <dcterms:modified xsi:type="dcterms:W3CDTF">2022-06-10T07:53:00Z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