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A8DC8" w14:textId="77777777" w:rsidR="00C02D7D" w:rsidRPr="0050013C" w:rsidRDefault="00C02D7D" w:rsidP="00C02D7D">
      <w:pPr>
        <w:pStyle w:val="Title"/>
        <w:spacing w:line="276" w:lineRule="auto"/>
        <w:rPr>
          <w:rFonts w:ascii="Verdana" w:hAnsi="Verdana"/>
          <w:sz w:val="30"/>
          <w:szCs w:val="30"/>
        </w:rPr>
      </w:pPr>
      <w:r w:rsidRPr="0050013C">
        <w:rPr>
          <w:noProof/>
          <w:sz w:val="30"/>
          <w:szCs w:val="30"/>
          <w:lang w:eastAsia="ro-RO"/>
        </w:rPr>
        <w:drawing>
          <wp:anchor distT="0" distB="0" distL="114300" distR="114300" simplePos="0" relativeHeight="251659264" behindDoc="1" locked="0" layoutInCell="1" allowOverlap="1" wp14:anchorId="4456BDCB" wp14:editId="4EBBE658">
            <wp:simplePos x="0" y="0"/>
            <wp:positionH relativeFrom="column">
              <wp:posOffset>4046220</wp:posOffset>
            </wp:positionH>
            <wp:positionV relativeFrom="paragraph">
              <wp:posOffset>-2171700</wp:posOffset>
            </wp:positionV>
            <wp:extent cx="780415" cy="1015365"/>
            <wp:effectExtent l="171450" t="114300" r="153035" b="108585"/>
            <wp:wrapNone/>
            <wp:docPr id="2" name="Imagine 2" descr="SEMNATURA-PRESEDINTE-ACTZ-150210-BUN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SEMNATURA-PRESEDINTE-ACTZ-150210-BUNA-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416654">
                      <a:off x="0" y="0"/>
                      <a:ext cx="780415" cy="1015365"/>
                    </a:xfrm>
                    <a:prstGeom prst="rect">
                      <a:avLst/>
                    </a:prstGeom>
                    <a:noFill/>
                  </pic:spPr>
                </pic:pic>
              </a:graphicData>
            </a:graphic>
            <wp14:sizeRelH relativeFrom="page">
              <wp14:pctWidth>0</wp14:pctWidth>
            </wp14:sizeRelH>
            <wp14:sizeRelV relativeFrom="page">
              <wp14:pctHeight>0</wp14:pctHeight>
            </wp14:sizeRelV>
          </wp:anchor>
        </w:drawing>
      </w:r>
      <w:r w:rsidRPr="0050013C">
        <w:rPr>
          <w:rFonts w:ascii="Verdana" w:hAnsi="Verdana"/>
          <w:sz w:val="30"/>
          <w:szCs w:val="30"/>
        </w:rPr>
        <w:t>UNIUNEA NA</w:t>
      </w:r>
      <w:r w:rsidRPr="0050013C">
        <w:rPr>
          <w:rFonts w:ascii="Verdana" w:hAnsi="Verdana" w:cs="Cambria"/>
          <w:sz w:val="30"/>
          <w:szCs w:val="30"/>
        </w:rPr>
        <w:t>Ţ</w:t>
      </w:r>
      <w:r w:rsidRPr="0050013C">
        <w:rPr>
          <w:rFonts w:ascii="Verdana" w:hAnsi="Verdana"/>
          <w:sz w:val="30"/>
          <w:szCs w:val="30"/>
        </w:rPr>
        <w:t>IONAL</w:t>
      </w:r>
      <w:r w:rsidRPr="0050013C">
        <w:rPr>
          <w:rFonts w:ascii="Verdana" w:hAnsi="Verdana" w:cs="Cambria"/>
          <w:sz w:val="30"/>
          <w:szCs w:val="30"/>
        </w:rPr>
        <w:t>Ă</w:t>
      </w:r>
      <w:r w:rsidRPr="0050013C">
        <w:rPr>
          <w:rFonts w:ascii="Verdana" w:hAnsi="Verdana"/>
          <w:sz w:val="30"/>
          <w:szCs w:val="30"/>
        </w:rPr>
        <w:t xml:space="preserve"> A BAROURILOR DIN ROM</w:t>
      </w:r>
      <w:r w:rsidRPr="0050013C">
        <w:rPr>
          <w:rFonts w:ascii="Verdana" w:hAnsi="Verdana" w:cs="Engravers MT"/>
          <w:sz w:val="30"/>
          <w:szCs w:val="30"/>
        </w:rPr>
        <w:t>Â</w:t>
      </w:r>
      <w:r w:rsidRPr="0050013C">
        <w:rPr>
          <w:rFonts w:ascii="Verdana" w:hAnsi="Verdana"/>
          <w:sz w:val="30"/>
          <w:szCs w:val="30"/>
        </w:rPr>
        <w:t>NIA</w:t>
      </w:r>
    </w:p>
    <w:p w14:paraId="562E2259" w14:textId="77777777" w:rsidR="00C02D7D" w:rsidRPr="0050013C" w:rsidRDefault="00C02D7D" w:rsidP="00C02D7D">
      <w:pPr>
        <w:pStyle w:val="Subtitle"/>
        <w:spacing w:line="276" w:lineRule="auto"/>
        <w:rPr>
          <w:rFonts w:ascii="Verdana" w:hAnsi="Verdana"/>
          <w:b/>
          <w:bCs/>
          <w:i/>
          <w:iCs/>
          <w:sz w:val="30"/>
          <w:szCs w:val="30"/>
        </w:rPr>
      </w:pPr>
      <w:r w:rsidRPr="0050013C">
        <w:rPr>
          <w:rFonts w:ascii="Verdana" w:hAnsi="Verdana"/>
          <w:b/>
          <w:bCs/>
          <w:i/>
          <w:iCs/>
          <w:sz w:val="30"/>
          <w:szCs w:val="30"/>
        </w:rPr>
        <w:t>CONSILIUL UNIUNII</w:t>
      </w:r>
    </w:p>
    <w:p w14:paraId="6F1D7F3D" w14:textId="77777777" w:rsidR="00C02D7D" w:rsidRPr="0050013C" w:rsidRDefault="00C02D7D" w:rsidP="00C02D7D">
      <w:pPr>
        <w:pStyle w:val="Subtitle"/>
        <w:spacing w:line="276" w:lineRule="auto"/>
        <w:rPr>
          <w:rFonts w:ascii="Verdana" w:hAnsi="Verdana"/>
          <w:sz w:val="30"/>
          <w:szCs w:val="30"/>
        </w:rPr>
      </w:pPr>
    </w:p>
    <w:p w14:paraId="59A73AEC" w14:textId="77777777" w:rsidR="00C02D7D" w:rsidRDefault="00C02D7D" w:rsidP="00C02D7D">
      <w:pPr>
        <w:pStyle w:val="Subtitle"/>
        <w:spacing w:line="276" w:lineRule="auto"/>
        <w:rPr>
          <w:rFonts w:ascii="Verdana" w:hAnsi="Verdana"/>
          <w:sz w:val="30"/>
          <w:szCs w:val="30"/>
        </w:rPr>
      </w:pPr>
    </w:p>
    <w:p w14:paraId="7BB51C78" w14:textId="77777777" w:rsidR="003C280E" w:rsidRPr="0050013C" w:rsidRDefault="003C280E" w:rsidP="00C02D7D">
      <w:pPr>
        <w:pStyle w:val="Subtitle"/>
        <w:spacing w:line="276" w:lineRule="auto"/>
        <w:rPr>
          <w:rFonts w:ascii="Verdana" w:hAnsi="Verdana"/>
          <w:sz w:val="30"/>
          <w:szCs w:val="30"/>
        </w:rPr>
      </w:pPr>
    </w:p>
    <w:p w14:paraId="7F8C61FF" w14:textId="3EEF345E" w:rsidR="00C02D7D" w:rsidRPr="0050013C" w:rsidRDefault="00C02D7D" w:rsidP="00C02D7D">
      <w:pPr>
        <w:spacing w:after="0"/>
        <w:jc w:val="center"/>
        <w:rPr>
          <w:rFonts w:ascii="Arial" w:hAnsi="Arial" w:cs="Arial"/>
          <w:b/>
          <w:sz w:val="28"/>
          <w:szCs w:val="28"/>
          <w:u w:val="single"/>
        </w:rPr>
      </w:pPr>
      <w:r w:rsidRPr="0050013C">
        <w:rPr>
          <w:rFonts w:ascii="Arial" w:hAnsi="Arial" w:cs="Arial"/>
          <w:b/>
          <w:sz w:val="28"/>
          <w:szCs w:val="28"/>
          <w:u w:val="single"/>
        </w:rPr>
        <w:t>HOTĂRÂREA nr. 1</w:t>
      </w:r>
      <w:r w:rsidR="00280476">
        <w:rPr>
          <w:rFonts w:ascii="Arial" w:hAnsi="Arial" w:cs="Arial"/>
          <w:b/>
          <w:sz w:val="28"/>
          <w:szCs w:val="28"/>
          <w:u w:val="single"/>
        </w:rPr>
        <w:t>7</w:t>
      </w:r>
    </w:p>
    <w:p w14:paraId="479873EA" w14:textId="77F25F04" w:rsidR="00C02D7D" w:rsidRPr="0050013C" w:rsidRDefault="00280476" w:rsidP="00C02D7D">
      <w:pPr>
        <w:spacing w:after="0"/>
        <w:jc w:val="center"/>
        <w:rPr>
          <w:rFonts w:ascii="Arial" w:hAnsi="Arial" w:cs="Arial"/>
          <w:b/>
          <w:i/>
          <w:iCs/>
          <w:sz w:val="28"/>
          <w:szCs w:val="28"/>
        </w:rPr>
      </w:pPr>
      <w:r>
        <w:rPr>
          <w:rFonts w:ascii="Arial" w:hAnsi="Arial" w:cs="Arial"/>
          <w:b/>
          <w:i/>
          <w:iCs/>
          <w:sz w:val="28"/>
          <w:szCs w:val="28"/>
        </w:rPr>
        <w:t>20</w:t>
      </w:r>
      <w:r w:rsidR="00C02D7D" w:rsidRPr="0050013C">
        <w:rPr>
          <w:rFonts w:ascii="Arial" w:hAnsi="Arial" w:cs="Arial"/>
          <w:b/>
          <w:i/>
          <w:iCs/>
          <w:sz w:val="28"/>
          <w:szCs w:val="28"/>
        </w:rPr>
        <w:t xml:space="preserve"> septembrie 2023</w:t>
      </w:r>
    </w:p>
    <w:p w14:paraId="3EA3B0A6" w14:textId="77777777" w:rsidR="00C02D7D" w:rsidRPr="0050013C" w:rsidRDefault="00C02D7D" w:rsidP="00C02D7D">
      <w:pPr>
        <w:spacing w:after="0"/>
        <w:jc w:val="center"/>
        <w:rPr>
          <w:sz w:val="24"/>
          <w:szCs w:val="24"/>
        </w:rPr>
      </w:pPr>
    </w:p>
    <w:p w14:paraId="28BCA593" w14:textId="77777777" w:rsidR="00C02D7D" w:rsidRPr="0050013C" w:rsidRDefault="00C02D7D" w:rsidP="00C02D7D">
      <w:pPr>
        <w:spacing w:after="0"/>
        <w:jc w:val="center"/>
        <w:rPr>
          <w:sz w:val="24"/>
          <w:szCs w:val="24"/>
        </w:rPr>
      </w:pPr>
    </w:p>
    <w:p w14:paraId="6828C700" w14:textId="125C3042" w:rsidR="00C02D7D" w:rsidRDefault="00C02D7D" w:rsidP="00C02D7D">
      <w:pPr>
        <w:spacing w:after="0"/>
        <w:jc w:val="both"/>
        <w:rPr>
          <w:rFonts w:ascii="Calibri" w:hAnsi="Calibri" w:cs="Calibri"/>
          <w:bCs/>
          <w:i/>
          <w:iCs/>
          <w:sz w:val="24"/>
          <w:szCs w:val="24"/>
        </w:rPr>
      </w:pPr>
      <w:r w:rsidRPr="0050013C">
        <w:rPr>
          <w:rFonts w:ascii="Calibri" w:hAnsi="Calibri" w:cs="Calibri"/>
          <w:bCs/>
          <w:i/>
          <w:iCs/>
          <w:sz w:val="24"/>
          <w:szCs w:val="24"/>
        </w:rPr>
        <w:t xml:space="preserve">În conformitate cu prevederile art. </w:t>
      </w:r>
      <w:r w:rsidR="00874753">
        <w:rPr>
          <w:rFonts w:ascii="Calibri" w:hAnsi="Calibri" w:cs="Calibri"/>
          <w:bCs/>
          <w:i/>
          <w:iCs/>
          <w:sz w:val="24"/>
          <w:szCs w:val="24"/>
        </w:rPr>
        <w:t>63 alin. (1) lit. e</w:t>
      </w:r>
      <w:r w:rsidR="00244CA4">
        <w:rPr>
          <w:rFonts w:ascii="Calibri" w:hAnsi="Calibri" w:cs="Calibri"/>
          <w:bCs/>
          <w:i/>
          <w:iCs/>
          <w:sz w:val="24"/>
          <w:szCs w:val="24"/>
        </w:rPr>
        <w:t>)</w:t>
      </w:r>
      <w:r w:rsidR="00874753">
        <w:rPr>
          <w:rFonts w:ascii="Calibri" w:hAnsi="Calibri" w:cs="Calibri"/>
          <w:bCs/>
          <w:i/>
          <w:iCs/>
          <w:sz w:val="24"/>
          <w:szCs w:val="24"/>
        </w:rPr>
        <w:t xml:space="preserve"> și </w:t>
      </w:r>
      <w:r w:rsidRPr="0050013C">
        <w:rPr>
          <w:rFonts w:ascii="Calibri" w:hAnsi="Calibri" w:cs="Calibri"/>
          <w:bCs/>
          <w:i/>
          <w:iCs/>
          <w:sz w:val="24"/>
          <w:szCs w:val="24"/>
        </w:rPr>
        <w:t xml:space="preserve">65 lit. </w:t>
      </w:r>
      <w:r w:rsidR="00874753">
        <w:rPr>
          <w:rFonts w:ascii="Calibri" w:hAnsi="Calibri" w:cs="Calibri"/>
          <w:bCs/>
          <w:i/>
          <w:iCs/>
          <w:sz w:val="24"/>
          <w:szCs w:val="24"/>
        </w:rPr>
        <w:t xml:space="preserve">a, b) și </w:t>
      </w:r>
      <w:r w:rsidRPr="0050013C">
        <w:rPr>
          <w:rFonts w:ascii="Calibri" w:hAnsi="Calibri" w:cs="Calibri"/>
          <w:bCs/>
          <w:i/>
          <w:iCs/>
          <w:sz w:val="24"/>
          <w:szCs w:val="24"/>
        </w:rPr>
        <w:t xml:space="preserve">s) Legea nr. 51/1995 din pentru organizarea și exercitarea profesiei de avocat, republicată, cu modificările și completările ulterioare, </w:t>
      </w:r>
    </w:p>
    <w:p w14:paraId="2CD0958D" w14:textId="251EDD1E" w:rsidR="00280476" w:rsidRDefault="00280476" w:rsidP="00C02D7D">
      <w:pPr>
        <w:spacing w:after="0"/>
        <w:jc w:val="both"/>
        <w:rPr>
          <w:rFonts w:ascii="Calibri" w:hAnsi="Calibri" w:cs="Calibri"/>
          <w:bCs/>
          <w:i/>
          <w:iCs/>
          <w:sz w:val="24"/>
          <w:szCs w:val="24"/>
        </w:rPr>
      </w:pPr>
      <w:r>
        <w:rPr>
          <w:rFonts w:ascii="Calibri" w:hAnsi="Calibri" w:cs="Calibri"/>
          <w:bCs/>
          <w:i/>
          <w:iCs/>
          <w:sz w:val="24"/>
          <w:szCs w:val="24"/>
        </w:rPr>
        <w:t xml:space="preserve">Ținând cont de </w:t>
      </w:r>
      <w:r w:rsidRPr="00280476">
        <w:rPr>
          <w:rFonts w:ascii="Calibri" w:hAnsi="Calibri" w:cs="Calibri"/>
          <w:bCs/>
          <w:i/>
          <w:iCs/>
          <w:sz w:val="24"/>
          <w:szCs w:val="24"/>
        </w:rPr>
        <w:t xml:space="preserve">Legea </w:t>
      </w:r>
      <w:r w:rsidR="00EF6747">
        <w:rPr>
          <w:rFonts w:ascii="Calibri" w:hAnsi="Calibri" w:cs="Calibri"/>
          <w:bCs/>
          <w:i/>
          <w:iCs/>
          <w:sz w:val="24"/>
          <w:szCs w:val="24"/>
        </w:rPr>
        <w:t xml:space="preserve">nr. </w:t>
      </w:r>
      <w:r w:rsidRPr="00280476">
        <w:rPr>
          <w:rFonts w:ascii="Calibri" w:hAnsi="Calibri" w:cs="Calibri"/>
          <w:bCs/>
          <w:i/>
          <w:iCs/>
          <w:sz w:val="24"/>
          <w:szCs w:val="24"/>
        </w:rPr>
        <w:t>249/2023</w:t>
      </w:r>
      <w:r>
        <w:rPr>
          <w:rFonts w:ascii="Calibri" w:hAnsi="Calibri" w:cs="Calibri"/>
          <w:bCs/>
          <w:i/>
          <w:iCs/>
          <w:sz w:val="24"/>
          <w:szCs w:val="24"/>
        </w:rPr>
        <w:t xml:space="preserve"> </w:t>
      </w:r>
      <w:r w:rsidRPr="00280476">
        <w:rPr>
          <w:rFonts w:ascii="Calibri" w:hAnsi="Calibri" w:cs="Calibri"/>
          <w:bCs/>
          <w:i/>
          <w:iCs/>
          <w:sz w:val="24"/>
          <w:szCs w:val="24"/>
        </w:rPr>
        <w:t>pentru modificarea şi completarea Legii nr. 72/2016 privind sistemul de pensii şi alte drepturi de asigurări sociale ale avocaților</w:t>
      </w:r>
      <w:r>
        <w:rPr>
          <w:rFonts w:ascii="Calibri" w:hAnsi="Calibri" w:cs="Calibri"/>
          <w:bCs/>
          <w:i/>
          <w:iCs/>
          <w:sz w:val="24"/>
          <w:szCs w:val="24"/>
        </w:rPr>
        <w:t>, prin care se modifică regimul juridic al pensiei anticipate a avocaților,</w:t>
      </w:r>
    </w:p>
    <w:p w14:paraId="3B5298B2" w14:textId="2BF22543" w:rsidR="00EF6747" w:rsidRPr="00820CD8" w:rsidRDefault="00EF6747" w:rsidP="00C02D7D">
      <w:pPr>
        <w:spacing w:after="0"/>
        <w:jc w:val="both"/>
        <w:rPr>
          <w:rFonts w:ascii="Calibri" w:hAnsi="Calibri" w:cs="Calibri"/>
          <w:bCs/>
          <w:i/>
          <w:iCs/>
          <w:sz w:val="24"/>
          <w:szCs w:val="24"/>
        </w:rPr>
      </w:pPr>
      <w:r>
        <w:rPr>
          <w:rFonts w:ascii="Calibri" w:hAnsi="Calibri" w:cs="Calibri"/>
          <w:bCs/>
          <w:i/>
          <w:iCs/>
          <w:sz w:val="24"/>
          <w:szCs w:val="24"/>
        </w:rPr>
        <w:t xml:space="preserve">Constatând faptul că </w:t>
      </w:r>
      <w:r w:rsidRPr="00820CD8">
        <w:rPr>
          <w:rFonts w:ascii="Calibri" w:hAnsi="Calibri" w:cs="Calibri"/>
          <w:bCs/>
          <w:i/>
          <w:iCs/>
          <w:sz w:val="24"/>
          <w:szCs w:val="24"/>
        </w:rPr>
        <w:t xml:space="preserve">în sistemul CAA se înregistrează 40 de avocați pensionari anticipat cu privire la care este necesară </w:t>
      </w:r>
      <w:r w:rsidR="00244CA4" w:rsidRPr="00820CD8">
        <w:rPr>
          <w:rFonts w:ascii="Calibri" w:hAnsi="Calibri" w:cs="Calibri"/>
          <w:bCs/>
          <w:i/>
          <w:iCs/>
          <w:sz w:val="24"/>
          <w:szCs w:val="24"/>
        </w:rPr>
        <w:t>introducerea</w:t>
      </w:r>
      <w:r w:rsidRPr="00820CD8">
        <w:rPr>
          <w:rFonts w:ascii="Calibri" w:hAnsi="Calibri" w:cs="Calibri"/>
          <w:bCs/>
          <w:i/>
          <w:iCs/>
          <w:sz w:val="24"/>
          <w:szCs w:val="24"/>
        </w:rPr>
        <w:t xml:space="preserve"> </w:t>
      </w:r>
      <w:r w:rsidR="00244CA4" w:rsidRPr="00820CD8">
        <w:rPr>
          <w:rFonts w:ascii="Calibri" w:hAnsi="Calibri" w:cs="Calibri"/>
          <w:bCs/>
          <w:i/>
          <w:iCs/>
          <w:sz w:val="24"/>
          <w:szCs w:val="24"/>
        </w:rPr>
        <w:t xml:space="preserve">în Statutul Casei de Asigurări a Avocaților (CAA) a </w:t>
      </w:r>
      <w:r w:rsidRPr="00820CD8">
        <w:rPr>
          <w:rFonts w:ascii="Calibri" w:hAnsi="Calibri" w:cs="Calibri"/>
          <w:bCs/>
          <w:i/>
          <w:iCs/>
          <w:sz w:val="24"/>
          <w:szCs w:val="24"/>
        </w:rPr>
        <w:t>unor dispoziții tranzitorii pentru aplicarea Legii nr. 249/2023,</w:t>
      </w:r>
    </w:p>
    <w:p w14:paraId="2D64C576" w14:textId="1C770EF0" w:rsidR="00EF6747" w:rsidRPr="00820CD8" w:rsidRDefault="00874753" w:rsidP="00874753">
      <w:pPr>
        <w:spacing w:after="0"/>
        <w:jc w:val="both"/>
        <w:rPr>
          <w:rFonts w:ascii="Calibri" w:hAnsi="Calibri" w:cs="Calibri"/>
          <w:bCs/>
          <w:i/>
          <w:iCs/>
          <w:sz w:val="24"/>
          <w:szCs w:val="24"/>
        </w:rPr>
      </w:pPr>
      <w:r w:rsidRPr="00820CD8">
        <w:rPr>
          <w:rFonts w:ascii="Calibri" w:hAnsi="Calibri" w:cs="Calibri"/>
          <w:bCs/>
          <w:i/>
          <w:iCs/>
          <w:sz w:val="24"/>
          <w:szCs w:val="24"/>
        </w:rPr>
        <w:t xml:space="preserve">Văzând Hotărârea </w:t>
      </w:r>
      <w:r w:rsidR="00EF6747" w:rsidRPr="00820CD8">
        <w:rPr>
          <w:rFonts w:ascii="Calibri" w:hAnsi="Calibri" w:cs="Calibri"/>
          <w:bCs/>
          <w:i/>
          <w:iCs/>
          <w:sz w:val="24"/>
          <w:szCs w:val="24"/>
        </w:rPr>
        <w:t>C</w:t>
      </w:r>
      <w:r w:rsidRPr="00820CD8">
        <w:rPr>
          <w:rFonts w:ascii="Calibri" w:hAnsi="Calibri" w:cs="Calibri"/>
          <w:bCs/>
          <w:i/>
          <w:iCs/>
          <w:sz w:val="24"/>
          <w:szCs w:val="24"/>
        </w:rPr>
        <w:t>ongresului avocaților nr. 04/</w:t>
      </w:r>
      <w:r w:rsidR="00EF6747" w:rsidRPr="00820CD8">
        <w:rPr>
          <w:rFonts w:ascii="Calibri" w:hAnsi="Calibri" w:cs="Calibri"/>
          <w:bCs/>
          <w:i/>
          <w:iCs/>
          <w:sz w:val="24"/>
          <w:szCs w:val="24"/>
        </w:rPr>
        <w:t>09-10 iunie 2023 prin care s-a mandatat Consiliul Uniunii Naționale a Barourilor din România (UNBR) să adopte, între Congrese, modificări și completări ale Statutului CAA, urmând să fie supuse ratificării Congresului imediat următor,</w:t>
      </w:r>
    </w:p>
    <w:p w14:paraId="4692E2D4" w14:textId="6F0DA5F5" w:rsidR="004136ED" w:rsidRPr="00820CD8" w:rsidRDefault="0050013C" w:rsidP="00C02D7D">
      <w:pPr>
        <w:spacing w:after="0"/>
        <w:jc w:val="both"/>
        <w:rPr>
          <w:rFonts w:ascii="Calibri" w:hAnsi="Calibri" w:cs="Calibri"/>
          <w:i/>
          <w:iCs/>
          <w:sz w:val="24"/>
          <w:szCs w:val="24"/>
        </w:rPr>
      </w:pPr>
      <w:r w:rsidRPr="00820CD8">
        <w:rPr>
          <w:rFonts w:ascii="Calibri" w:hAnsi="Calibri" w:cs="Calibri"/>
          <w:i/>
          <w:iCs/>
          <w:sz w:val="24"/>
          <w:szCs w:val="24"/>
        </w:rPr>
        <w:t xml:space="preserve">Având în vedere </w:t>
      </w:r>
      <w:r w:rsidR="00280476" w:rsidRPr="00820CD8">
        <w:rPr>
          <w:rFonts w:ascii="Calibri" w:hAnsi="Calibri" w:cs="Calibri"/>
          <w:i/>
          <w:iCs/>
          <w:sz w:val="24"/>
          <w:szCs w:val="24"/>
        </w:rPr>
        <w:t>propunerile Consiliului de administ</w:t>
      </w:r>
      <w:r w:rsidR="007614F5" w:rsidRPr="00820CD8">
        <w:rPr>
          <w:rFonts w:ascii="Calibri" w:hAnsi="Calibri" w:cs="Calibri"/>
          <w:i/>
          <w:iCs/>
          <w:sz w:val="24"/>
          <w:szCs w:val="24"/>
        </w:rPr>
        <w:t>rație</w:t>
      </w:r>
      <w:r w:rsidR="00280476" w:rsidRPr="00820CD8">
        <w:rPr>
          <w:rFonts w:ascii="Calibri" w:hAnsi="Calibri" w:cs="Calibri"/>
          <w:i/>
          <w:iCs/>
          <w:sz w:val="24"/>
          <w:szCs w:val="24"/>
        </w:rPr>
        <w:t xml:space="preserve"> a</w:t>
      </w:r>
      <w:r w:rsidR="007614F5" w:rsidRPr="00820CD8">
        <w:rPr>
          <w:rFonts w:ascii="Calibri" w:hAnsi="Calibri" w:cs="Calibri"/>
          <w:i/>
          <w:iCs/>
          <w:sz w:val="24"/>
          <w:szCs w:val="24"/>
        </w:rPr>
        <w:t>l</w:t>
      </w:r>
      <w:r w:rsidR="00280476" w:rsidRPr="00820CD8">
        <w:rPr>
          <w:rFonts w:ascii="Calibri" w:hAnsi="Calibri" w:cs="Calibri"/>
          <w:i/>
          <w:iCs/>
          <w:sz w:val="24"/>
          <w:szCs w:val="24"/>
        </w:rPr>
        <w:t xml:space="preserve"> CAA, precum și discuțiile din ședința Comisiei Permanente din 31 august 2023 și dezbaterile din ședința Consiliului UNBR din 01-02.2023, </w:t>
      </w:r>
      <w:r w:rsidR="00EF6747" w:rsidRPr="00820CD8">
        <w:rPr>
          <w:rFonts w:ascii="Calibri" w:hAnsi="Calibri" w:cs="Calibri"/>
          <w:i/>
          <w:iCs/>
          <w:sz w:val="24"/>
          <w:szCs w:val="24"/>
        </w:rPr>
        <w:t>ocazie cu care s-a</w:t>
      </w:r>
      <w:r w:rsidR="00280476" w:rsidRPr="00820CD8">
        <w:rPr>
          <w:rFonts w:ascii="Calibri" w:hAnsi="Calibri" w:cs="Calibri"/>
          <w:i/>
          <w:iCs/>
          <w:sz w:val="24"/>
          <w:szCs w:val="24"/>
        </w:rPr>
        <w:t xml:space="preserve"> decis convocarea Consiliului prin vot electronic pentru a se pronunța cu privire la măsurile de implementare a noilor prevederi,</w:t>
      </w:r>
    </w:p>
    <w:p w14:paraId="130AAF8B" w14:textId="6E8FFF2A" w:rsidR="00633ED9" w:rsidRPr="00820CD8" w:rsidRDefault="00633ED9" w:rsidP="00C02D7D">
      <w:pPr>
        <w:spacing w:after="0"/>
        <w:jc w:val="both"/>
        <w:rPr>
          <w:rFonts w:ascii="Calibri" w:hAnsi="Calibri" w:cs="Calibri"/>
          <w:i/>
          <w:iCs/>
          <w:sz w:val="24"/>
          <w:szCs w:val="24"/>
        </w:rPr>
      </w:pPr>
      <w:r w:rsidRPr="00820CD8">
        <w:rPr>
          <w:rFonts w:ascii="Calibri" w:hAnsi="Calibri" w:cs="Calibri"/>
          <w:i/>
          <w:iCs/>
          <w:sz w:val="24"/>
          <w:szCs w:val="24"/>
        </w:rPr>
        <w:t>Ținând cont de necesitatea abrogării oricăror dispoziții contrare</w:t>
      </w:r>
      <w:r w:rsidR="007614F5" w:rsidRPr="00820CD8">
        <w:rPr>
          <w:rFonts w:ascii="Calibri" w:hAnsi="Calibri" w:cs="Calibri"/>
          <w:i/>
          <w:iCs/>
          <w:sz w:val="24"/>
          <w:szCs w:val="24"/>
        </w:rPr>
        <w:t xml:space="preserve"> și aplicării prevederilor legale pentru pensionarii cu anticipație în baza legislației anterioare</w:t>
      </w:r>
      <w:r w:rsidRPr="00820CD8">
        <w:rPr>
          <w:rFonts w:ascii="Calibri" w:hAnsi="Calibri" w:cs="Calibri"/>
          <w:i/>
          <w:iCs/>
          <w:sz w:val="24"/>
          <w:szCs w:val="24"/>
        </w:rPr>
        <w:t xml:space="preserve"> Legii nr. 249/2023</w:t>
      </w:r>
      <w:r w:rsidR="007614F5" w:rsidRPr="00820CD8">
        <w:rPr>
          <w:rFonts w:ascii="Calibri" w:hAnsi="Calibri" w:cs="Calibri"/>
          <w:i/>
          <w:iCs/>
          <w:sz w:val="24"/>
          <w:szCs w:val="24"/>
        </w:rPr>
        <w:t>, care au împlinit vârsta standard de pensionare înainte de 27 iulie 2023, data intrării în vigoare a modificărilor art. 37 și 38 din Legea nr. 72/2016,</w:t>
      </w:r>
    </w:p>
    <w:p w14:paraId="09FBA957" w14:textId="23EB0CBC" w:rsidR="00C02D7D" w:rsidRPr="0050013C" w:rsidRDefault="00C02D7D" w:rsidP="00C02D7D">
      <w:pPr>
        <w:spacing w:after="0"/>
        <w:jc w:val="both"/>
        <w:rPr>
          <w:rFonts w:ascii="Calibri" w:hAnsi="Calibri" w:cs="Calibri"/>
          <w:b/>
          <w:bCs/>
          <w:i/>
          <w:iCs/>
          <w:sz w:val="24"/>
          <w:szCs w:val="24"/>
        </w:rPr>
      </w:pPr>
      <w:r w:rsidRPr="0050013C">
        <w:rPr>
          <w:rFonts w:ascii="Calibri" w:hAnsi="Calibri" w:cs="Calibri"/>
          <w:b/>
          <w:bCs/>
          <w:i/>
          <w:iCs/>
          <w:sz w:val="24"/>
          <w:szCs w:val="24"/>
        </w:rPr>
        <w:t xml:space="preserve">Consiliul UNBR, în ședința </w:t>
      </w:r>
      <w:r w:rsidR="00280476">
        <w:rPr>
          <w:rFonts w:ascii="Calibri" w:hAnsi="Calibri" w:cs="Calibri"/>
          <w:b/>
          <w:bCs/>
          <w:i/>
          <w:iCs/>
          <w:sz w:val="24"/>
          <w:szCs w:val="24"/>
        </w:rPr>
        <w:t>prin vot electronic din perioada 14-20</w:t>
      </w:r>
      <w:r w:rsidRPr="0050013C">
        <w:rPr>
          <w:rFonts w:ascii="Calibri" w:hAnsi="Calibri" w:cs="Calibri"/>
          <w:b/>
          <w:bCs/>
          <w:i/>
          <w:iCs/>
          <w:sz w:val="24"/>
          <w:szCs w:val="24"/>
        </w:rPr>
        <w:t xml:space="preserve"> septembrie 2023, </w:t>
      </w:r>
    </w:p>
    <w:p w14:paraId="169C1366" w14:textId="77777777" w:rsidR="00C02D7D" w:rsidRDefault="00C02D7D" w:rsidP="00C02D7D">
      <w:pPr>
        <w:spacing w:after="0"/>
        <w:jc w:val="center"/>
        <w:rPr>
          <w:rFonts w:ascii="Calibri" w:hAnsi="Calibri" w:cs="Calibri"/>
          <w:b/>
          <w:bCs/>
          <w:sz w:val="28"/>
          <w:szCs w:val="28"/>
        </w:rPr>
      </w:pPr>
    </w:p>
    <w:p w14:paraId="496DF034" w14:textId="77777777" w:rsidR="003C280E" w:rsidRPr="0050013C" w:rsidRDefault="003C280E" w:rsidP="00C02D7D">
      <w:pPr>
        <w:spacing w:after="0"/>
        <w:jc w:val="center"/>
        <w:rPr>
          <w:rFonts w:ascii="Calibri" w:hAnsi="Calibri" w:cs="Calibri"/>
          <w:b/>
          <w:bCs/>
          <w:sz w:val="28"/>
          <w:szCs w:val="28"/>
        </w:rPr>
      </w:pPr>
    </w:p>
    <w:p w14:paraId="7CA0EAA5" w14:textId="3A9DB8E9" w:rsidR="00C02D7D" w:rsidRDefault="00C02D7D" w:rsidP="00C02D7D">
      <w:pPr>
        <w:spacing w:after="0"/>
        <w:jc w:val="center"/>
        <w:rPr>
          <w:rFonts w:ascii="Calibri" w:hAnsi="Calibri" w:cs="Calibri"/>
          <w:b/>
          <w:bCs/>
          <w:sz w:val="28"/>
          <w:szCs w:val="28"/>
        </w:rPr>
      </w:pPr>
      <w:r w:rsidRPr="0050013C">
        <w:rPr>
          <w:rFonts w:ascii="Calibri" w:hAnsi="Calibri" w:cs="Calibri"/>
          <w:b/>
          <w:bCs/>
          <w:sz w:val="28"/>
          <w:szCs w:val="28"/>
        </w:rPr>
        <w:t>H O T Ă R Ă Ș T E</w:t>
      </w:r>
      <w:r w:rsidR="0050013C">
        <w:rPr>
          <w:rFonts w:ascii="Calibri" w:hAnsi="Calibri" w:cs="Calibri"/>
          <w:b/>
          <w:bCs/>
          <w:sz w:val="28"/>
          <w:szCs w:val="28"/>
        </w:rPr>
        <w:t>:</w:t>
      </w:r>
    </w:p>
    <w:p w14:paraId="52BA81A6" w14:textId="77777777" w:rsidR="0050013C" w:rsidRDefault="0050013C" w:rsidP="00C02D7D">
      <w:pPr>
        <w:spacing w:after="0"/>
        <w:jc w:val="center"/>
        <w:rPr>
          <w:rFonts w:ascii="Calibri" w:hAnsi="Calibri" w:cs="Calibri"/>
          <w:b/>
          <w:bCs/>
          <w:sz w:val="28"/>
          <w:szCs w:val="28"/>
        </w:rPr>
      </w:pPr>
    </w:p>
    <w:p w14:paraId="647ED039" w14:textId="77777777" w:rsidR="003C280E" w:rsidRDefault="003C280E" w:rsidP="00C02D7D">
      <w:pPr>
        <w:spacing w:after="0"/>
        <w:jc w:val="center"/>
        <w:rPr>
          <w:rFonts w:ascii="Calibri" w:hAnsi="Calibri" w:cs="Calibri"/>
          <w:b/>
          <w:bCs/>
          <w:sz w:val="28"/>
          <w:szCs w:val="28"/>
        </w:rPr>
      </w:pPr>
    </w:p>
    <w:p w14:paraId="273E872C" w14:textId="75B41131" w:rsidR="00EF6747" w:rsidRPr="00EF6747" w:rsidRDefault="0050013C" w:rsidP="00EF6747">
      <w:pPr>
        <w:spacing w:after="0"/>
        <w:jc w:val="both"/>
        <w:rPr>
          <w:rFonts w:ascii="Calibri" w:hAnsi="Calibri" w:cs="Calibri"/>
          <w:iCs/>
          <w:sz w:val="24"/>
          <w:szCs w:val="24"/>
        </w:rPr>
      </w:pPr>
      <w:r w:rsidRPr="005B4B4B">
        <w:rPr>
          <w:rFonts w:ascii="Calibri" w:hAnsi="Calibri" w:cs="Calibri"/>
          <w:b/>
          <w:bCs/>
          <w:iCs/>
          <w:sz w:val="24"/>
          <w:szCs w:val="24"/>
        </w:rPr>
        <w:t>Art. 1</w:t>
      </w:r>
      <w:r w:rsidRPr="005B4B4B">
        <w:rPr>
          <w:rFonts w:ascii="Calibri" w:hAnsi="Calibri" w:cs="Calibri"/>
          <w:iCs/>
          <w:sz w:val="24"/>
          <w:szCs w:val="24"/>
        </w:rPr>
        <w:t xml:space="preserve"> – </w:t>
      </w:r>
      <w:r w:rsidR="00EF6747">
        <w:rPr>
          <w:rFonts w:ascii="Calibri" w:hAnsi="Calibri" w:cs="Calibri"/>
          <w:iCs/>
          <w:sz w:val="24"/>
          <w:szCs w:val="24"/>
        </w:rPr>
        <w:t xml:space="preserve">Statutul </w:t>
      </w:r>
      <w:r w:rsidR="00EF6747" w:rsidRPr="00EF6747">
        <w:rPr>
          <w:rFonts w:ascii="Calibri" w:hAnsi="Calibri" w:cs="Calibri"/>
          <w:iCs/>
          <w:sz w:val="24"/>
          <w:szCs w:val="24"/>
        </w:rPr>
        <w:t>Casei de Asigurări a Avocaților</w:t>
      </w:r>
      <w:r w:rsidR="00EF6747">
        <w:rPr>
          <w:rFonts w:ascii="Calibri" w:hAnsi="Calibri" w:cs="Calibri"/>
          <w:iCs/>
          <w:sz w:val="24"/>
          <w:szCs w:val="24"/>
        </w:rPr>
        <w:t xml:space="preserve">, adoptat prin </w:t>
      </w:r>
      <w:r w:rsidR="00EF6747" w:rsidRPr="00EF6747">
        <w:rPr>
          <w:rFonts w:ascii="Calibri" w:hAnsi="Calibri" w:cs="Calibri"/>
          <w:iCs/>
          <w:sz w:val="24"/>
          <w:szCs w:val="24"/>
        </w:rPr>
        <w:t>H</w:t>
      </w:r>
      <w:r w:rsidR="00EF6747">
        <w:rPr>
          <w:rFonts w:ascii="Calibri" w:hAnsi="Calibri" w:cs="Calibri"/>
          <w:iCs/>
          <w:sz w:val="24"/>
          <w:szCs w:val="24"/>
        </w:rPr>
        <w:t>otărârea Consiliului UNBR nr.</w:t>
      </w:r>
      <w:r w:rsidR="00EF6747" w:rsidRPr="00EF6747">
        <w:rPr>
          <w:rFonts w:ascii="Calibri" w:hAnsi="Calibri" w:cs="Calibri"/>
          <w:iCs/>
          <w:sz w:val="24"/>
          <w:szCs w:val="24"/>
        </w:rPr>
        <w:t xml:space="preserve"> 139/27.07.2016</w:t>
      </w:r>
      <w:r w:rsidR="00EF6747">
        <w:rPr>
          <w:rFonts w:ascii="Calibri" w:hAnsi="Calibri" w:cs="Calibri"/>
          <w:iCs/>
          <w:sz w:val="24"/>
          <w:szCs w:val="24"/>
        </w:rPr>
        <w:t>, cu modificările și completările ulterioare</w:t>
      </w:r>
      <w:r w:rsidR="00244CA4">
        <w:rPr>
          <w:rFonts w:ascii="Calibri" w:hAnsi="Calibri" w:cs="Calibri"/>
          <w:iCs/>
          <w:sz w:val="24"/>
          <w:szCs w:val="24"/>
        </w:rPr>
        <w:t>,</w:t>
      </w:r>
      <w:r w:rsidR="00EF6747">
        <w:rPr>
          <w:rFonts w:ascii="Calibri" w:hAnsi="Calibri" w:cs="Calibri"/>
          <w:iCs/>
          <w:sz w:val="24"/>
          <w:szCs w:val="24"/>
        </w:rPr>
        <w:t xml:space="preserve"> se completează cu </w:t>
      </w:r>
      <w:r w:rsidR="00244CA4">
        <w:rPr>
          <w:rFonts w:ascii="Calibri" w:hAnsi="Calibri" w:cs="Calibri"/>
          <w:iCs/>
          <w:sz w:val="24"/>
          <w:szCs w:val="24"/>
        </w:rPr>
        <w:t xml:space="preserve">un nou articol, </w:t>
      </w:r>
      <w:r w:rsidR="00244CA4" w:rsidRPr="00244CA4">
        <w:rPr>
          <w:rFonts w:ascii="Calibri" w:hAnsi="Calibri" w:cs="Calibri"/>
          <w:i/>
          <w:sz w:val="24"/>
          <w:szCs w:val="24"/>
        </w:rPr>
        <w:t>art. 96 – Dispoziții tranzitorii privind aplicarea Legii 249/2023</w:t>
      </w:r>
      <w:r w:rsidR="00244CA4">
        <w:rPr>
          <w:rFonts w:ascii="Calibri" w:hAnsi="Calibri" w:cs="Calibri"/>
          <w:iCs/>
          <w:sz w:val="24"/>
          <w:szCs w:val="24"/>
        </w:rPr>
        <w:t>, cu următorul conținut:</w:t>
      </w:r>
    </w:p>
    <w:p w14:paraId="35847EB2" w14:textId="77777777" w:rsidR="00874753" w:rsidRDefault="00874753" w:rsidP="00874753">
      <w:pPr>
        <w:pStyle w:val="Default"/>
      </w:pPr>
    </w:p>
    <w:p w14:paraId="36FD3B7F" w14:textId="5A12657A" w:rsidR="00874753" w:rsidRPr="00874753" w:rsidRDefault="00244CA4" w:rsidP="00874753">
      <w:pPr>
        <w:pStyle w:val="Default"/>
        <w:jc w:val="both"/>
      </w:pPr>
      <w:r>
        <w:t>„</w:t>
      </w:r>
      <w:r w:rsidR="00874753" w:rsidRPr="00874753">
        <w:rPr>
          <w:b/>
          <w:bCs/>
        </w:rPr>
        <w:t xml:space="preserve">Art. 96 </w:t>
      </w:r>
      <w:bookmarkStart w:id="0" w:name="_Hlk146542900"/>
      <w:r w:rsidR="00874753" w:rsidRPr="00874753">
        <w:rPr>
          <w:b/>
          <w:bCs/>
        </w:rPr>
        <w:t xml:space="preserve">– Dispoziții tranzitorii privind aplicarea Legii 249/2023 </w:t>
      </w:r>
      <w:bookmarkEnd w:id="0"/>
    </w:p>
    <w:p w14:paraId="2BE03FE5" w14:textId="77777777" w:rsidR="00874753" w:rsidRPr="00874753" w:rsidRDefault="00874753" w:rsidP="00874753">
      <w:pPr>
        <w:pStyle w:val="Default"/>
        <w:jc w:val="both"/>
      </w:pPr>
      <w:r w:rsidRPr="00874753">
        <w:rPr>
          <w:b/>
          <w:bCs/>
          <w:i/>
          <w:iCs/>
        </w:rPr>
        <w:t xml:space="preserve">(1) </w:t>
      </w:r>
      <w:r w:rsidRPr="00874753">
        <w:rPr>
          <w:i/>
          <w:iCs/>
        </w:rPr>
        <w:t xml:space="preserve">Pentru pensionarii sistemului C.A.A. care la data intrării în vigoare a Legii 249/2023 beneficiau de pensie anticipată din sistemul C.A.A. stabilită conform reglementărilor anterioare acestei date și </w:t>
      </w:r>
      <w:r w:rsidRPr="00874753">
        <w:rPr>
          <w:i/>
          <w:iCs/>
        </w:rPr>
        <w:lastRenderedPageBreak/>
        <w:t xml:space="preserve">împliniseră la aceeași dată vârsta standard de pensionare conform art. 29 din Legea 72/2016, pensia anticipată aflată în plată se transformă din oficiu în pensie de limită de vârstă începând cu data intrării în vigoare a Legii 249/2023. </w:t>
      </w:r>
    </w:p>
    <w:p w14:paraId="54FFF5FA" w14:textId="77777777" w:rsidR="00874753" w:rsidRPr="00874753" w:rsidRDefault="00874753" w:rsidP="00874753">
      <w:pPr>
        <w:pStyle w:val="Default"/>
        <w:jc w:val="both"/>
      </w:pPr>
      <w:r w:rsidRPr="00874753">
        <w:rPr>
          <w:b/>
          <w:bCs/>
          <w:i/>
          <w:iCs/>
        </w:rPr>
        <w:t xml:space="preserve">(2) </w:t>
      </w:r>
      <w:r w:rsidRPr="00874753">
        <w:rPr>
          <w:i/>
          <w:iCs/>
        </w:rPr>
        <w:t xml:space="preserve">Cuantumul pensiei de limită de vârstă prevăzută la alin. (1) se calculează prin adăugarea la cuantumul pensiei anticipate în plată a cuantumului aferent eventualelor stagii de cotizare realizate în perioada de anticipare cuprinsă între data pensionării pentru pensie anticipată și data la care pensionarul a împlinit vârsta standard de pensionare conform art. 29 din Legea 72/2016. </w:t>
      </w:r>
    </w:p>
    <w:p w14:paraId="76E8B240" w14:textId="330D41D7" w:rsidR="00874753" w:rsidRPr="00874753" w:rsidRDefault="00874753" w:rsidP="00244CA4">
      <w:pPr>
        <w:pStyle w:val="Default"/>
        <w:jc w:val="both"/>
      </w:pPr>
      <w:r w:rsidRPr="00874753">
        <w:rPr>
          <w:b/>
          <w:bCs/>
          <w:i/>
          <w:iCs/>
        </w:rPr>
        <w:t xml:space="preserve">(3) </w:t>
      </w:r>
      <w:r w:rsidRPr="00874753">
        <w:rPr>
          <w:i/>
          <w:iCs/>
        </w:rPr>
        <w:t>Pentru pensionarii sistemului C.A.A. care la data intrării în vigoare a Legii 249/2023 beneficiau de pensie anticipată din sistemul C.A.A. stabilită conform reglementărilor anterioare acestei date dar nu îndeplineau la aceeași dată condițiile de pensionare pentru limită de vârstă, respectiv nu împliniseră vârsta standard de pensionare, pensia anticipată aflată în plată se transformă din oficiu în pensie de limită de vârstă la data îndeplinirii condițiilor pentru pensionare pentru limită de vârstă, în condițiile prevăzute de art. 38 alin. (1) astfel cum a fost modificat prin Legea 249/2023</w:t>
      </w:r>
      <w:r w:rsidR="00244CA4">
        <w:rPr>
          <w:i/>
          <w:iCs/>
        </w:rPr>
        <w:t>.</w:t>
      </w:r>
      <w:r w:rsidRPr="00874753">
        <w:t xml:space="preserve"> </w:t>
      </w:r>
    </w:p>
    <w:p w14:paraId="580B30AB" w14:textId="77777777" w:rsidR="00874753" w:rsidRPr="00874753" w:rsidRDefault="00874753" w:rsidP="00874753">
      <w:pPr>
        <w:pStyle w:val="Default"/>
        <w:jc w:val="both"/>
      </w:pPr>
      <w:r w:rsidRPr="00874753">
        <w:rPr>
          <w:b/>
          <w:bCs/>
          <w:i/>
          <w:iCs/>
        </w:rPr>
        <w:t xml:space="preserve">(4) </w:t>
      </w:r>
      <w:r w:rsidRPr="00874753">
        <w:rPr>
          <w:i/>
          <w:iCs/>
        </w:rPr>
        <w:t xml:space="preserve">Cuantumul pensiei de limită de vârstă prevăzută la alin. (3) se calculează prin adăugarea la cuantumul pensiei anticipate în plată a cuantumului aferent eventualelor stagii de cotizare realizate în perioada de anticipare cuprinsă între data pensionării pentru pensie anticipată și data la care pensionarul împlinește vârsta standard de pensionare conform art. 29 din Legea 72/2016. </w:t>
      </w:r>
    </w:p>
    <w:p w14:paraId="4056EDDB" w14:textId="77777777" w:rsidR="00874753" w:rsidRPr="00874753" w:rsidRDefault="00874753" w:rsidP="00874753">
      <w:pPr>
        <w:pStyle w:val="Default"/>
        <w:jc w:val="both"/>
      </w:pPr>
      <w:r w:rsidRPr="00874753">
        <w:rPr>
          <w:b/>
          <w:bCs/>
          <w:i/>
          <w:iCs/>
        </w:rPr>
        <w:t xml:space="preserve">(5) </w:t>
      </w:r>
      <w:r w:rsidRPr="00874753">
        <w:rPr>
          <w:i/>
          <w:iCs/>
        </w:rPr>
        <w:t xml:space="preserve">Stagiile de cotizare realizate în perioada de anticipare după împlinirea vârstei standard de pensionare conform art. 29 din Legea 72/2016 vor fi valorificate doar la stabilirea pensiei de retragere definitivă din profesie. </w:t>
      </w:r>
    </w:p>
    <w:p w14:paraId="61EFCD50" w14:textId="77777777" w:rsidR="00874753" w:rsidRPr="00874753" w:rsidRDefault="00874753" w:rsidP="00874753">
      <w:pPr>
        <w:pStyle w:val="Default"/>
        <w:jc w:val="both"/>
      </w:pPr>
      <w:r w:rsidRPr="00874753">
        <w:rPr>
          <w:b/>
          <w:bCs/>
          <w:i/>
          <w:iCs/>
        </w:rPr>
        <w:t xml:space="preserve">(6) </w:t>
      </w:r>
      <w:r w:rsidRPr="00874753">
        <w:rPr>
          <w:i/>
          <w:iCs/>
        </w:rPr>
        <w:t xml:space="preserve">Pensionarii C.A.A. prevăzuți la alin. (1) își pot valorifica, la cerere, la data trecerii la categoria de pensie de limită de vârstă, perioadele asimilate nevalorificate la calculul pensiei anticipate, dacă cererea a fost depusă până la 31 decembrie 2023. Dacă cererea nu a fost depusă până la această dată se aplică prevederile art. 71 alin. (2) din Legea 72/2016. </w:t>
      </w:r>
    </w:p>
    <w:p w14:paraId="6CA41053" w14:textId="0773FC2F" w:rsidR="0050013C" w:rsidRDefault="00874753" w:rsidP="00633ED9">
      <w:pPr>
        <w:spacing w:after="0" w:line="276" w:lineRule="auto"/>
        <w:jc w:val="both"/>
        <w:rPr>
          <w:rFonts w:ascii="Calibri" w:hAnsi="Calibri" w:cs="Calibri"/>
          <w:i/>
          <w:iCs/>
          <w:sz w:val="24"/>
          <w:szCs w:val="24"/>
        </w:rPr>
      </w:pPr>
      <w:r w:rsidRPr="00874753">
        <w:rPr>
          <w:rFonts w:ascii="Calibri" w:hAnsi="Calibri" w:cs="Calibri"/>
          <w:b/>
          <w:bCs/>
          <w:i/>
          <w:iCs/>
          <w:sz w:val="24"/>
          <w:szCs w:val="24"/>
        </w:rPr>
        <w:t xml:space="preserve">(7) </w:t>
      </w:r>
      <w:r w:rsidRPr="00874753">
        <w:rPr>
          <w:rFonts w:ascii="Calibri" w:hAnsi="Calibri" w:cs="Calibri"/>
          <w:i/>
          <w:iCs/>
          <w:sz w:val="24"/>
          <w:szCs w:val="24"/>
        </w:rPr>
        <w:t>Pensionarii C.A.A. prevăzuți la alin. (3) își pot valorifica, la cerere, la data trecerii la categoria de pensie de limită de vârstă, perioadele asimilate nevalorificate la calculul pensiei anticipate, cu aplicarea corespunzătoare a prevederilor art. 71 din Legea 72/2016.</w:t>
      </w:r>
      <w:r w:rsidR="00244CA4">
        <w:rPr>
          <w:rFonts w:ascii="Calibri" w:hAnsi="Calibri" w:cs="Calibri"/>
          <w:i/>
          <w:iCs/>
          <w:sz w:val="24"/>
          <w:szCs w:val="24"/>
        </w:rPr>
        <w:t>”</w:t>
      </w:r>
      <w:r w:rsidR="00633ED9">
        <w:rPr>
          <w:rFonts w:ascii="Calibri" w:hAnsi="Calibri" w:cs="Calibri"/>
          <w:i/>
          <w:iCs/>
          <w:sz w:val="24"/>
          <w:szCs w:val="24"/>
        </w:rPr>
        <w:t>.</w:t>
      </w:r>
    </w:p>
    <w:p w14:paraId="4F9ADD90" w14:textId="77777777" w:rsidR="00244CA4" w:rsidRPr="00874753" w:rsidRDefault="00244CA4" w:rsidP="00633ED9">
      <w:pPr>
        <w:spacing w:after="0" w:line="276" w:lineRule="auto"/>
        <w:jc w:val="both"/>
        <w:rPr>
          <w:rFonts w:ascii="Calibri" w:hAnsi="Calibri" w:cs="Calibri"/>
          <w:iCs/>
          <w:sz w:val="24"/>
          <w:szCs w:val="24"/>
        </w:rPr>
      </w:pPr>
    </w:p>
    <w:p w14:paraId="748C19B3" w14:textId="3649CD43" w:rsidR="00633ED9" w:rsidRDefault="0050013C" w:rsidP="00633ED9">
      <w:pPr>
        <w:spacing w:after="0" w:line="276" w:lineRule="auto"/>
        <w:jc w:val="both"/>
        <w:rPr>
          <w:rFonts w:ascii="Calibri" w:hAnsi="Calibri" w:cs="Calibri"/>
          <w:sz w:val="24"/>
          <w:szCs w:val="24"/>
        </w:rPr>
      </w:pPr>
      <w:r w:rsidRPr="005B4B4B">
        <w:rPr>
          <w:rFonts w:ascii="Calibri" w:hAnsi="Calibri" w:cs="Calibri"/>
          <w:b/>
          <w:bCs/>
          <w:sz w:val="24"/>
          <w:szCs w:val="24"/>
        </w:rPr>
        <w:t xml:space="preserve">Art. </w:t>
      </w:r>
      <w:r w:rsidR="00191822">
        <w:rPr>
          <w:rFonts w:ascii="Calibri" w:hAnsi="Calibri" w:cs="Calibri"/>
          <w:b/>
          <w:bCs/>
          <w:sz w:val="24"/>
          <w:szCs w:val="24"/>
        </w:rPr>
        <w:t>2</w:t>
      </w:r>
      <w:r w:rsidRPr="005B4B4B">
        <w:rPr>
          <w:rFonts w:ascii="Calibri" w:hAnsi="Calibri" w:cs="Calibri"/>
          <w:b/>
          <w:bCs/>
          <w:sz w:val="24"/>
          <w:szCs w:val="24"/>
        </w:rPr>
        <w:t>.</w:t>
      </w:r>
      <w:r w:rsidRPr="005B4B4B">
        <w:rPr>
          <w:rFonts w:ascii="Calibri" w:hAnsi="Calibri" w:cs="Calibri"/>
          <w:sz w:val="24"/>
          <w:szCs w:val="24"/>
        </w:rPr>
        <w:t xml:space="preserve"> – </w:t>
      </w:r>
      <w:r w:rsidR="00633ED9">
        <w:rPr>
          <w:rFonts w:ascii="Calibri" w:hAnsi="Calibri" w:cs="Calibri"/>
          <w:sz w:val="24"/>
          <w:szCs w:val="24"/>
        </w:rPr>
        <w:t xml:space="preserve">Art. 21 din </w:t>
      </w:r>
      <w:r w:rsidR="00633ED9" w:rsidRPr="00633ED9">
        <w:rPr>
          <w:rFonts w:ascii="Calibri" w:hAnsi="Calibri" w:cs="Calibri"/>
          <w:sz w:val="24"/>
          <w:szCs w:val="24"/>
        </w:rPr>
        <w:t>Anexa nr. 1 la Hotărârea Consiliului UNBR nr. 209/18.02.2017</w:t>
      </w:r>
      <w:r w:rsidR="00633ED9">
        <w:rPr>
          <w:rFonts w:ascii="Calibri" w:hAnsi="Calibri" w:cs="Calibri"/>
          <w:sz w:val="24"/>
          <w:szCs w:val="24"/>
        </w:rPr>
        <w:t xml:space="preserve"> - </w:t>
      </w:r>
      <w:r w:rsidR="00633ED9" w:rsidRPr="00633ED9">
        <w:rPr>
          <w:rFonts w:ascii="Calibri" w:hAnsi="Calibri" w:cs="Calibri"/>
          <w:sz w:val="24"/>
          <w:szCs w:val="24"/>
        </w:rPr>
        <w:t xml:space="preserve">Regulament </w:t>
      </w:r>
      <w:r w:rsidR="00633ED9">
        <w:rPr>
          <w:rFonts w:ascii="Calibri" w:hAnsi="Calibri" w:cs="Calibri"/>
          <w:sz w:val="24"/>
          <w:szCs w:val="24"/>
        </w:rPr>
        <w:t>p</w:t>
      </w:r>
      <w:r w:rsidR="00633ED9" w:rsidRPr="00633ED9">
        <w:rPr>
          <w:rFonts w:ascii="Calibri" w:hAnsi="Calibri" w:cs="Calibri"/>
          <w:sz w:val="24"/>
          <w:szCs w:val="24"/>
        </w:rPr>
        <w:t>ensi</w:t>
      </w:r>
      <w:r w:rsidR="00633ED9">
        <w:rPr>
          <w:rFonts w:ascii="Calibri" w:hAnsi="Calibri" w:cs="Calibri"/>
          <w:sz w:val="24"/>
          <w:szCs w:val="24"/>
        </w:rPr>
        <w:t xml:space="preserve">i </w:t>
      </w:r>
      <w:r w:rsidR="007614F5">
        <w:rPr>
          <w:rFonts w:ascii="Calibri" w:hAnsi="Calibri" w:cs="Calibri"/>
          <w:sz w:val="24"/>
          <w:szCs w:val="24"/>
        </w:rPr>
        <w:t xml:space="preserve"> </w:t>
      </w:r>
      <w:r w:rsidR="007614F5" w:rsidRPr="007614F5">
        <w:rPr>
          <w:rFonts w:ascii="Calibri" w:hAnsi="Calibri" w:cs="Calibri"/>
          <w:color w:val="FF0000"/>
          <w:sz w:val="24"/>
          <w:szCs w:val="24"/>
        </w:rPr>
        <w:t>-</w:t>
      </w:r>
      <w:r w:rsidR="007614F5">
        <w:rPr>
          <w:rFonts w:ascii="Calibri" w:hAnsi="Calibri" w:cs="Calibri"/>
          <w:sz w:val="24"/>
          <w:szCs w:val="24"/>
        </w:rPr>
        <w:t xml:space="preserve"> </w:t>
      </w:r>
      <w:r w:rsidR="00633ED9">
        <w:rPr>
          <w:rFonts w:ascii="Calibri" w:hAnsi="Calibri" w:cs="Calibri"/>
          <w:sz w:val="24"/>
          <w:szCs w:val="24"/>
        </w:rPr>
        <w:t>se abrogă.</w:t>
      </w:r>
    </w:p>
    <w:p w14:paraId="7665B302" w14:textId="77777777" w:rsidR="00633ED9" w:rsidRDefault="00633ED9" w:rsidP="00244CA4">
      <w:pPr>
        <w:spacing w:after="0"/>
        <w:jc w:val="both"/>
        <w:rPr>
          <w:rFonts w:ascii="Calibri" w:hAnsi="Calibri" w:cs="Calibri"/>
          <w:sz w:val="24"/>
          <w:szCs w:val="24"/>
        </w:rPr>
      </w:pPr>
    </w:p>
    <w:p w14:paraId="0389BFB1" w14:textId="3088574D" w:rsidR="00191822" w:rsidRDefault="00633ED9" w:rsidP="00244CA4">
      <w:pPr>
        <w:spacing w:after="0"/>
        <w:jc w:val="both"/>
        <w:rPr>
          <w:rFonts w:ascii="Calibri" w:hAnsi="Calibri" w:cs="Calibri"/>
          <w:sz w:val="24"/>
          <w:szCs w:val="24"/>
        </w:rPr>
      </w:pPr>
      <w:r w:rsidRPr="005B4B4B">
        <w:rPr>
          <w:rFonts w:ascii="Calibri" w:hAnsi="Calibri" w:cs="Calibri"/>
          <w:b/>
          <w:bCs/>
          <w:sz w:val="24"/>
          <w:szCs w:val="24"/>
        </w:rPr>
        <w:t xml:space="preserve">Art. </w:t>
      </w:r>
      <w:r>
        <w:rPr>
          <w:rFonts w:ascii="Calibri" w:hAnsi="Calibri" w:cs="Calibri"/>
          <w:b/>
          <w:bCs/>
          <w:sz w:val="24"/>
          <w:szCs w:val="24"/>
        </w:rPr>
        <w:t>3</w:t>
      </w:r>
      <w:r w:rsidRPr="005B4B4B">
        <w:rPr>
          <w:rFonts w:ascii="Calibri" w:hAnsi="Calibri" w:cs="Calibri"/>
          <w:b/>
          <w:bCs/>
          <w:sz w:val="24"/>
          <w:szCs w:val="24"/>
        </w:rPr>
        <w:t>.</w:t>
      </w:r>
      <w:r w:rsidRPr="005B4B4B">
        <w:rPr>
          <w:rFonts w:ascii="Calibri" w:hAnsi="Calibri" w:cs="Calibri"/>
          <w:sz w:val="24"/>
          <w:szCs w:val="24"/>
        </w:rPr>
        <w:t xml:space="preserve"> – </w:t>
      </w:r>
      <w:r w:rsidR="00244CA4" w:rsidRPr="005B4B4B">
        <w:rPr>
          <w:rFonts w:ascii="Calibri" w:hAnsi="Calibri" w:cs="Calibri"/>
          <w:sz w:val="24"/>
          <w:szCs w:val="24"/>
        </w:rPr>
        <w:t>Prezenta Hotărâre</w:t>
      </w:r>
      <w:r w:rsidR="00244CA4">
        <w:rPr>
          <w:rFonts w:ascii="Calibri" w:hAnsi="Calibri" w:cs="Calibri"/>
          <w:sz w:val="24"/>
          <w:szCs w:val="24"/>
        </w:rPr>
        <w:t xml:space="preserve"> va fi supusă ratificării Congresului avocaților,</w:t>
      </w:r>
      <w:r w:rsidR="0050013C" w:rsidRPr="005B4B4B">
        <w:rPr>
          <w:rFonts w:ascii="Calibri" w:hAnsi="Calibri" w:cs="Calibri"/>
          <w:sz w:val="24"/>
          <w:szCs w:val="24"/>
        </w:rPr>
        <w:t xml:space="preserve"> se afișează pe pagina web a </w:t>
      </w:r>
      <w:r w:rsidR="00244CA4">
        <w:rPr>
          <w:rFonts w:ascii="Calibri" w:hAnsi="Calibri" w:cs="Calibri"/>
          <w:sz w:val="24"/>
          <w:szCs w:val="24"/>
        </w:rPr>
        <w:t>UNBR</w:t>
      </w:r>
      <w:r w:rsidR="0050013C" w:rsidRPr="005B4B4B">
        <w:rPr>
          <w:rFonts w:ascii="Calibri" w:hAnsi="Calibri" w:cs="Calibri"/>
          <w:sz w:val="24"/>
          <w:szCs w:val="24"/>
        </w:rPr>
        <w:t xml:space="preserve"> (www.unbr.ro) și se comunică prin e-mail barourilor, membrilor Consiliului UNBR</w:t>
      </w:r>
      <w:r w:rsidR="00191822">
        <w:rPr>
          <w:rFonts w:ascii="Calibri" w:hAnsi="Calibri" w:cs="Calibri"/>
          <w:sz w:val="24"/>
          <w:szCs w:val="24"/>
        </w:rPr>
        <w:t xml:space="preserve"> și CAA, care va asigura </w:t>
      </w:r>
      <w:r w:rsidR="00191822" w:rsidRPr="005B4B4B">
        <w:rPr>
          <w:rFonts w:ascii="Calibri" w:hAnsi="Calibri" w:cs="Calibri"/>
          <w:sz w:val="24"/>
          <w:szCs w:val="24"/>
        </w:rPr>
        <w:t xml:space="preserve">comunicarea hotărârii către </w:t>
      </w:r>
      <w:r w:rsidR="00191822">
        <w:rPr>
          <w:rFonts w:ascii="Calibri" w:hAnsi="Calibri" w:cs="Calibri"/>
          <w:sz w:val="24"/>
          <w:szCs w:val="24"/>
        </w:rPr>
        <w:t>filiale</w:t>
      </w:r>
      <w:r w:rsidR="008E6C37">
        <w:rPr>
          <w:rFonts w:ascii="Calibri" w:hAnsi="Calibri" w:cs="Calibri"/>
          <w:sz w:val="24"/>
          <w:szCs w:val="24"/>
        </w:rPr>
        <w:t>le</w:t>
      </w:r>
      <w:r w:rsidR="00191822">
        <w:rPr>
          <w:rFonts w:ascii="Calibri" w:hAnsi="Calibri" w:cs="Calibri"/>
          <w:sz w:val="24"/>
          <w:szCs w:val="24"/>
        </w:rPr>
        <w:t xml:space="preserve"> CAA</w:t>
      </w:r>
      <w:r w:rsidR="00191822" w:rsidRPr="005B4B4B">
        <w:rPr>
          <w:rFonts w:ascii="Calibri" w:hAnsi="Calibri" w:cs="Calibri"/>
          <w:sz w:val="24"/>
          <w:szCs w:val="24"/>
        </w:rPr>
        <w:t>.</w:t>
      </w:r>
    </w:p>
    <w:p w14:paraId="660635FF" w14:textId="77777777" w:rsidR="00191822" w:rsidRDefault="00191822" w:rsidP="00191822">
      <w:pPr>
        <w:spacing w:after="0"/>
        <w:jc w:val="both"/>
        <w:rPr>
          <w:rFonts w:ascii="Calibri" w:hAnsi="Calibri" w:cs="Calibri"/>
          <w:sz w:val="24"/>
          <w:szCs w:val="24"/>
        </w:rPr>
      </w:pPr>
    </w:p>
    <w:p w14:paraId="700AFC1F" w14:textId="77777777" w:rsidR="00580DB5" w:rsidRDefault="00580DB5" w:rsidP="00191822">
      <w:pPr>
        <w:spacing w:after="0"/>
        <w:jc w:val="both"/>
        <w:rPr>
          <w:rFonts w:ascii="Calibri" w:hAnsi="Calibri" w:cs="Calibri"/>
          <w:sz w:val="24"/>
          <w:szCs w:val="24"/>
        </w:rPr>
      </w:pPr>
    </w:p>
    <w:p w14:paraId="5D9A0DA3" w14:textId="77777777" w:rsidR="008D2931" w:rsidRDefault="008D2931" w:rsidP="00191822">
      <w:pPr>
        <w:spacing w:after="0"/>
        <w:jc w:val="both"/>
        <w:rPr>
          <w:rFonts w:ascii="Calibri" w:hAnsi="Calibri" w:cs="Calibri"/>
          <w:sz w:val="24"/>
          <w:szCs w:val="24"/>
        </w:rPr>
      </w:pPr>
    </w:p>
    <w:p w14:paraId="15B0F4A8" w14:textId="77777777" w:rsidR="00191822" w:rsidRDefault="00191822" w:rsidP="00191822">
      <w:pPr>
        <w:spacing w:after="0"/>
        <w:jc w:val="both"/>
        <w:rPr>
          <w:rFonts w:ascii="Calibri" w:hAnsi="Calibri" w:cs="Calibri"/>
          <w:sz w:val="24"/>
          <w:szCs w:val="24"/>
        </w:rPr>
      </w:pPr>
    </w:p>
    <w:p w14:paraId="3F3946B6" w14:textId="0F5A8799" w:rsidR="00580DB5" w:rsidRPr="00580DB5" w:rsidRDefault="008D2931" w:rsidP="00580DB5">
      <w:pPr>
        <w:spacing w:after="0" w:line="276" w:lineRule="auto"/>
        <w:ind w:right="29"/>
        <w:jc w:val="center"/>
        <w:rPr>
          <w:rFonts w:ascii="Calibri" w:hAnsi="Calibri" w:cs="Calibri"/>
          <w:b/>
          <w:sz w:val="28"/>
          <w:szCs w:val="28"/>
        </w:rPr>
      </w:pPr>
      <w:r>
        <w:rPr>
          <w:rFonts w:ascii="Calibri" w:hAnsi="Calibri" w:cs="Calibri"/>
          <w:b/>
          <w:sz w:val="28"/>
          <w:szCs w:val="28"/>
        </w:rPr>
        <w:t xml:space="preserve">C O N S I L I UL </w:t>
      </w:r>
      <w:r w:rsidR="00580DB5" w:rsidRPr="00580DB5">
        <w:rPr>
          <w:rFonts w:ascii="Calibri" w:hAnsi="Calibri" w:cs="Calibri"/>
          <w:b/>
          <w:sz w:val="28"/>
          <w:szCs w:val="28"/>
        </w:rPr>
        <w:t xml:space="preserve">    U.N.B.R.</w:t>
      </w:r>
    </w:p>
    <w:sectPr w:rsidR="00580DB5" w:rsidRPr="00580DB5" w:rsidSect="00580DB5">
      <w:footerReference w:type="default" r:id="rId9"/>
      <w:pgSz w:w="12240" w:h="15840"/>
      <w:pgMar w:top="1134" w:right="1183" w:bottom="851" w:left="1440" w:header="708"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47A77" w14:textId="77777777" w:rsidR="00820793" w:rsidRDefault="00820793" w:rsidP="00F27A3B">
      <w:pPr>
        <w:spacing w:after="0" w:line="240" w:lineRule="auto"/>
      </w:pPr>
      <w:r>
        <w:separator/>
      </w:r>
    </w:p>
  </w:endnote>
  <w:endnote w:type="continuationSeparator" w:id="0">
    <w:p w14:paraId="67AE589F" w14:textId="77777777" w:rsidR="00820793" w:rsidRDefault="00820793" w:rsidP="00F27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436254"/>
      <w:docPartObj>
        <w:docPartGallery w:val="Page Numbers (Bottom of Page)"/>
        <w:docPartUnique/>
      </w:docPartObj>
    </w:sdtPr>
    <w:sdtEndPr>
      <w:rPr>
        <w:noProof/>
      </w:rPr>
    </w:sdtEndPr>
    <w:sdtContent>
      <w:p w14:paraId="4AB3DBC0" w14:textId="7B97414D" w:rsidR="00F27A3B" w:rsidRDefault="00F27A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5A6D81" w14:textId="77777777" w:rsidR="00F27A3B" w:rsidRDefault="00F27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C80EB" w14:textId="77777777" w:rsidR="00820793" w:rsidRDefault="00820793" w:rsidP="00F27A3B">
      <w:pPr>
        <w:spacing w:after="0" w:line="240" w:lineRule="auto"/>
      </w:pPr>
      <w:r>
        <w:separator/>
      </w:r>
    </w:p>
  </w:footnote>
  <w:footnote w:type="continuationSeparator" w:id="0">
    <w:p w14:paraId="71004682" w14:textId="77777777" w:rsidR="00820793" w:rsidRDefault="00820793" w:rsidP="00F27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E12D92"/>
    <w:multiLevelType w:val="hybridMultilevel"/>
    <w:tmpl w:val="E372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3439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19A"/>
    <w:rsid w:val="000D3BB5"/>
    <w:rsid w:val="00100B4E"/>
    <w:rsid w:val="00191822"/>
    <w:rsid w:val="002271A4"/>
    <w:rsid w:val="002303B9"/>
    <w:rsid w:val="00244CA4"/>
    <w:rsid w:val="00262AAF"/>
    <w:rsid w:val="00280476"/>
    <w:rsid w:val="00330057"/>
    <w:rsid w:val="003C280E"/>
    <w:rsid w:val="004071B6"/>
    <w:rsid w:val="004136ED"/>
    <w:rsid w:val="004C119A"/>
    <w:rsid w:val="004C5219"/>
    <w:rsid w:val="0050013C"/>
    <w:rsid w:val="00580DB5"/>
    <w:rsid w:val="00633ED9"/>
    <w:rsid w:val="00680DD8"/>
    <w:rsid w:val="00723437"/>
    <w:rsid w:val="007614F5"/>
    <w:rsid w:val="00820793"/>
    <w:rsid w:val="00820CD8"/>
    <w:rsid w:val="00874753"/>
    <w:rsid w:val="008D2931"/>
    <w:rsid w:val="008E6C37"/>
    <w:rsid w:val="00A87137"/>
    <w:rsid w:val="00AD2338"/>
    <w:rsid w:val="00AF5C7B"/>
    <w:rsid w:val="00B929C9"/>
    <w:rsid w:val="00BC03F1"/>
    <w:rsid w:val="00C02D7D"/>
    <w:rsid w:val="00C815E7"/>
    <w:rsid w:val="00EF6747"/>
    <w:rsid w:val="00F2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62CFD"/>
  <w15:chartTrackingRefBased/>
  <w15:docId w15:val="{CDA66C57-CD69-4E9B-A0D7-7BD02E11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1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0DD8"/>
    <w:pPr>
      <w:spacing w:after="0" w:line="288" w:lineRule="auto"/>
      <w:ind w:left="720"/>
      <w:contextualSpacing/>
    </w:pPr>
    <w:rPr>
      <w:rFonts w:ascii="Times New Roman" w:hAnsi="Times New Roman"/>
      <w:kern w:val="0"/>
      <w:sz w:val="28"/>
      <w14:ligatures w14:val="none"/>
    </w:rPr>
  </w:style>
  <w:style w:type="paragraph" w:styleId="Title">
    <w:name w:val="Title"/>
    <w:basedOn w:val="Normal"/>
    <w:link w:val="TitleChar"/>
    <w:uiPriority w:val="99"/>
    <w:qFormat/>
    <w:rsid w:val="00C02D7D"/>
    <w:pPr>
      <w:spacing w:after="0" w:line="240" w:lineRule="auto"/>
      <w:jc w:val="center"/>
    </w:pPr>
    <w:rPr>
      <w:rFonts w:ascii="Helvetica" w:eastAsia="Times New Roman" w:hAnsi="Helvetica" w:cs="Times New Roman"/>
      <w:b/>
      <w:kern w:val="0"/>
      <w:sz w:val="36"/>
      <w:szCs w:val="20"/>
      <w14:ligatures w14:val="none"/>
    </w:rPr>
  </w:style>
  <w:style w:type="character" w:customStyle="1" w:styleId="TitleChar">
    <w:name w:val="Title Char"/>
    <w:basedOn w:val="DefaultParagraphFont"/>
    <w:link w:val="Title"/>
    <w:uiPriority w:val="99"/>
    <w:rsid w:val="00C02D7D"/>
    <w:rPr>
      <w:rFonts w:ascii="Helvetica" w:eastAsia="Times New Roman" w:hAnsi="Helvetica" w:cs="Times New Roman"/>
      <w:b/>
      <w:kern w:val="0"/>
      <w:sz w:val="36"/>
      <w:szCs w:val="20"/>
      <w:lang w:val="ro-RO"/>
      <w14:ligatures w14:val="none"/>
    </w:rPr>
  </w:style>
  <w:style w:type="paragraph" w:styleId="Subtitle">
    <w:name w:val="Subtitle"/>
    <w:basedOn w:val="Normal"/>
    <w:link w:val="SubtitleChar"/>
    <w:uiPriority w:val="99"/>
    <w:qFormat/>
    <w:rsid w:val="00C02D7D"/>
    <w:pPr>
      <w:spacing w:after="0" w:line="240" w:lineRule="auto"/>
      <w:jc w:val="center"/>
    </w:pPr>
    <w:rPr>
      <w:rFonts w:ascii="Tahoma" w:eastAsia="Times New Roman" w:hAnsi="Tahoma" w:cs="Times New Roman"/>
      <w:kern w:val="0"/>
      <w:sz w:val="36"/>
      <w:szCs w:val="20"/>
      <w14:ligatures w14:val="none"/>
    </w:rPr>
  </w:style>
  <w:style w:type="character" w:customStyle="1" w:styleId="SubtitleChar">
    <w:name w:val="Subtitle Char"/>
    <w:basedOn w:val="DefaultParagraphFont"/>
    <w:link w:val="Subtitle"/>
    <w:uiPriority w:val="99"/>
    <w:rsid w:val="00C02D7D"/>
    <w:rPr>
      <w:rFonts w:ascii="Tahoma" w:eastAsia="Times New Roman" w:hAnsi="Tahoma" w:cs="Times New Roman"/>
      <w:kern w:val="0"/>
      <w:sz w:val="36"/>
      <w:szCs w:val="20"/>
      <w:lang w:val="ro-RO"/>
      <w14:ligatures w14:val="none"/>
    </w:rPr>
  </w:style>
  <w:style w:type="paragraph" w:styleId="Header">
    <w:name w:val="header"/>
    <w:basedOn w:val="Normal"/>
    <w:link w:val="HeaderChar"/>
    <w:uiPriority w:val="99"/>
    <w:unhideWhenUsed/>
    <w:rsid w:val="00F27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A3B"/>
    <w:rPr>
      <w:lang w:val="ro-RO"/>
    </w:rPr>
  </w:style>
  <w:style w:type="paragraph" w:styleId="Footer">
    <w:name w:val="footer"/>
    <w:basedOn w:val="Normal"/>
    <w:link w:val="FooterChar"/>
    <w:uiPriority w:val="99"/>
    <w:unhideWhenUsed/>
    <w:rsid w:val="00F27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A3B"/>
    <w:rPr>
      <w:lang w:val="ro-RO"/>
    </w:rPr>
  </w:style>
  <w:style w:type="paragraph" w:customStyle="1" w:styleId="Default">
    <w:name w:val="Default"/>
    <w:rsid w:val="00874753"/>
    <w:pPr>
      <w:autoSpaceDE w:val="0"/>
      <w:autoSpaceDN w:val="0"/>
      <w:adjustRightInd w:val="0"/>
      <w:spacing w:after="0" w:line="240" w:lineRule="auto"/>
    </w:pPr>
    <w:rPr>
      <w:rFonts w:ascii="Calibri" w:hAnsi="Calibri" w:cs="Calibri"/>
      <w:color w:val="000000"/>
      <w:kern w:val="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384B5-853B-47D6-96E6-70CB6D77E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784</Words>
  <Characters>4549</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2023-09-28T06:31:00Z</dcterms:created>
  <dcterms:modified xsi:type="dcterms:W3CDTF">2023-10-09T10:29:00Z</dcterms:modified>
</cp:coreProperties>
</file>