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6CFE3" w14:textId="56ECF6F0" w:rsidR="00A12B99" w:rsidRDefault="00A12B99" w:rsidP="00DD1ACE">
      <w:pPr>
        <w:spacing w:line="276" w:lineRule="auto"/>
        <w:ind w:right="29"/>
        <w:jc w:val="right"/>
        <w:rPr>
          <w:rFonts w:ascii="Calibri" w:hAnsi="Calibri" w:cs="Calibri"/>
          <w:b/>
          <w:sz w:val="28"/>
          <w:szCs w:val="28"/>
        </w:rPr>
      </w:pPr>
      <w:bookmarkStart w:id="0" w:name="_Hlk170463853"/>
      <w:r w:rsidRPr="007373F7">
        <w:rPr>
          <w:rFonts w:ascii="Calibri" w:hAnsi="Calibri" w:cs="Calibri"/>
          <w:b/>
          <w:sz w:val="28"/>
          <w:szCs w:val="28"/>
        </w:rPr>
        <w:t xml:space="preserve">Anexa </w:t>
      </w:r>
      <w:r w:rsidR="008A3E92">
        <w:rPr>
          <w:rFonts w:ascii="Calibri" w:hAnsi="Calibri" w:cs="Calibri"/>
          <w:b/>
          <w:sz w:val="28"/>
          <w:szCs w:val="28"/>
        </w:rPr>
        <w:t xml:space="preserve">nr. 1. </w:t>
      </w:r>
      <w:r w:rsidRPr="007373F7">
        <w:rPr>
          <w:rFonts w:ascii="Calibri" w:hAnsi="Calibri" w:cs="Calibri"/>
          <w:b/>
          <w:sz w:val="28"/>
          <w:szCs w:val="28"/>
        </w:rPr>
        <w:t xml:space="preserve">la Hotărârea Consiliului U.N.B.R. nr. </w:t>
      </w:r>
      <w:r w:rsidR="008A3E92">
        <w:rPr>
          <w:rFonts w:ascii="Calibri" w:hAnsi="Calibri" w:cs="Calibri"/>
          <w:b/>
          <w:sz w:val="28"/>
          <w:szCs w:val="28"/>
        </w:rPr>
        <w:t>98</w:t>
      </w:r>
      <w:r w:rsidRPr="007373F7">
        <w:rPr>
          <w:rFonts w:ascii="Calibri" w:hAnsi="Calibri" w:cs="Calibri"/>
          <w:b/>
          <w:sz w:val="28"/>
          <w:szCs w:val="28"/>
        </w:rPr>
        <w:t>/</w:t>
      </w:r>
      <w:r w:rsidR="008A3E92">
        <w:rPr>
          <w:rFonts w:ascii="Calibri" w:hAnsi="Calibri" w:cs="Calibri"/>
          <w:b/>
          <w:sz w:val="28"/>
          <w:szCs w:val="28"/>
        </w:rPr>
        <w:t>30 august 2024</w:t>
      </w:r>
    </w:p>
    <w:p w14:paraId="55399455" w14:textId="77777777" w:rsidR="001E559F" w:rsidRPr="003747D4" w:rsidRDefault="001E559F" w:rsidP="00DD1ACE">
      <w:pPr>
        <w:spacing w:line="276" w:lineRule="auto"/>
        <w:ind w:right="29"/>
        <w:jc w:val="right"/>
        <w:rPr>
          <w:rFonts w:ascii="Calibri" w:hAnsi="Calibri" w:cs="Calibri"/>
          <w:b/>
          <w:sz w:val="28"/>
          <w:szCs w:val="28"/>
        </w:rPr>
      </w:pPr>
    </w:p>
    <w:p w14:paraId="7633D367" w14:textId="77777777" w:rsidR="001E559F" w:rsidRPr="003747D4" w:rsidRDefault="001E559F" w:rsidP="001E559F">
      <w:pPr>
        <w:pStyle w:val="Corp"/>
        <w:spacing w:line="276" w:lineRule="auto"/>
        <w:jc w:val="center"/>
        <w:rPr>
          <w:rFonts w:ascii="Calibri" w:eastAsia="Times New Roman" w:hAnsi="Calibri" w:cs="Calibri"/>
          <w:b/>
          <w:bCs/>
          <w:color w:val="auto"/>
          <w:sz w:val="28"/>
          <w:szCs w:val="28"/>
        </w:rPr>
      </w:pPr>
      <w:r w:rsidRPr="003747D4">
        <w:rPr>
          <w:rFonts w:ascii="Calibri" w:hAnsi="Calibri" w:cs="Calibri"/>
          <w:b/>
          <w:bCs/>
          <w:color w:val="auto"/>
          <w:sz w:val="28"/>
          <w:szCs w:val="28"/>
        </w:rPr>
        <w:t>UNIUNEA NAŢIONALĂ A BAROURILOR DIN ROMÂNIA</w:t>
      </w:r>
    </w:p>
    <w:p w14:paraId="3D422070" w14:textId="77777777" w:rsidR="001E559F" w:rsidRPr="003747D4" w:rsidRDefault="001E559F" w:rsidP="001E559F">
      <w:pPr>
        <w:pStyle w:val="Corp"/>
        <w:spacing w:line="276" w:lineRule="auto"/>
        <w:jc w:val="center"/>
        <w:rPr>
          <w:rFonts w:ascii="Calibri" w:eastAsia="Times New Roman" w:hAnsi="Calibri" w:cs="Calibri"/>
          <w:b/>
          <w:bCs/>
          <w:i/>
          <w:iCs/>
          <w:color w:val="auto"/>
          <w:sz w:val="28"/>
          <w:szCs w:val="28"/>
        </w:rPr>
      </w:pPr>
      <w:r w:rsidRPr="003747D4">
        <w:rPr>
          <w:rFonts w:ascii="Calibri" w:hAnsi="Calibri" w:cs="Calibri"/>
          <w:b/>
          <w:bCs/>
          <w:i/>
          <w:iCs/>
          <w:color w:val="auto"/>
          <w:sz w:val="28"/>
          <w:szCs w:val="28"/>
        </w:rPr>
        <w:t>Consiliul U.N.B.R.</w:t>
      </w:r>
    </w:p>
    <w:p w14:paraId="2CE332A5" w14:textId="77777777" w:rsidR="001E559F" w:rsidRPr="003747D4" w:rsidRDefault="001E559F" w:rsidP="001E559F">
      <w:pPr>
        <w:pStyle w:val="Corp"/>
        <w:spacing w:line="276" w:lineRule="auto"/>
        <w:rPr>
          <w:rFonts w:ascii="Calibri" w:eastAsia="Times New Roman" w:hAnsi="Calibri" w:cs="Calibri"/>
          <w:b/>
          <w:bCs/>
          <w:i/>
          <w:iCs/>
          <w:color w:val="auto"/>
        </w:rPr>
      </w:pPr>
    </w:p>
    <w:p w14:paraId="231AA222" w14:textId="77777777" w:rsidR="001E559F" w:rsidRPr="003747D4" w:rsidRDefault="001E559F" w:rsidP="001E559F">
      <w:pPr>
        <w:pStyle w:val="Corp"/>
        <w:spacing w:line="276" w:lineRule="auto"/>
        <w:jc w:val="center"/>
        <w:rPr>
          <w:rFonts w:ascii="Calibri" w:eastAsia="Times New Roman" w:hAnsi="Calibri" w:cs="Calibri"/>
          <w:b/>
          <w:bCs/>
          <w:i/>
          <w:iCs/>
          <w:color w:val="auto"/>
        </w:rPr>
      </w:pPr>
    </w:p>
    <w:p w14:paraId="30A99540" w14:textId="77777777" w:rsidR="001E559F" w:rsidRPr="003747D4" w:rsidRDefault="001E559F" w:rsidP="001E559F">
      <w:pPr>
        <w:pStyle w:val="Corp"/>
        <w:spacing w:line="276" w:lineRule="auto"/>
        <w:jc w:val="center"/>
        <w:rPr>
          <w:rFonts w:ascii="Calibri" w:eastAsia="Times New Roman" w:hAnsi="Calibri" w:cs="Calibri"/>
          <w:b/>
          <w:bCs/>
          <w:color w:val="auto"/>
        </w:rPr>
      </w:pPr>
      <w:r w:rsidRPr="003747D4">
        <w:rPr>
          <w:rFonts w:ascii="Calibri" w:hAnsi="Calibri" w:cs="Calibri"/>
          <w:b/>
          <w:bCs/>
          <w:color w:val="auto"/>
        </w:rPr>
        <w:t>Reglementare sectorială în aplicarea Legii nr. 129/2019 pentru prevenirea și combaterea spălării banilor și finanțării terorismului</w:t>
      </w:r>
    </w:p>
    <w:p w14:paraId="74CF95AF" w14:textId="77777777" w:rsidR="001E559F" w:rsidRPr="003747D4" w:rsidRDefault="001E559F" w:rsidP="001E559F">
      <w:pPr>
        <w:pStyle w:val="Corp"/>
        <w:spacing w:line="276" w:lineRule="auto"/>
        <w:jc w:val="both"/>
        <w:rPr>
          <w:rFonts w:ascii="Calibri" w:eastAsia="Times New Roman" w:hAnsi="Calibri" w:cs="Calibri"/>
          <w:b/>
          <w:bCs/>
          <w:color w:val="auto"/>
        </w:rPr>
      </w:pPr>
    </w:p>
    <w:p w14:paraId="5AAE47D2" w14:textId="77777777" w:rsidR="001E559F" w:rsidRPr="003747D4" w:rsidRDefault="001E559F" w:rsidP="001E559F">
      <w:pPr>
        <w:pStyle w:val="Corp"/>
        <w:spacing w:line="276" w:lineRule="auto"/>
        <w:ind w:firstLine="720"/>
        <w:jc w:val="both"/>
        <w:rPr>
          <w:rFonts w:ascii="Calibri" w:eastAsia="Times New Roman" w:hAnsi="Calibri" w:cs="Calibri"/>
          <w:b/>
          <w:bCs/>
          <w:color w:val="auto"/>
        </w:rPr>
      </w:pPr>
      <w:r w:rsidRPr="003747D4">
        <w:rPr>
          <w:rFonts w:ascii="Calibri" w:hAnsi="Calibri" w:cs="Calibri"/>
          <w:b/>
          <w:bCs/>
          <w:color w:val="auto"/>
        </w:rPr>
        <w:t>Preambul:</w:t>
      </w:r>
    </w:p>
    <w:p w14:paraId="6B0616D5"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 xml:space="preserve">Prezenta reglementare denumită în continuare „norme sectoriale” este adoptată în conformitate cu art. 2 lit. n) și art. 59 alin. (1) din Legea nr. 129/2019 coroborat cu art. 3 lit. d) și art. 4 alin. (2) lit. d) din Ordinul Președintelui O.N.P.C.S.B. nr. 37/2021, cu respectarea principiului păstrării secretului profesional al avocatului prevăzut de Legea nr. 51/1995 pentru organizarea și exercitarea profesiei de avocat, republicată și Statutul profesiei de avocat, în raport de </w:t>
      </w:r>
      <w:proofErr w:type="spellStart"/>
      <w:r w:rsidRPr="003747D4">
        <w:rPr>
          <w:rFonts w:ascii="Calibri" w:hAnsi="Calibri" w:cs="Calibri"/>
          <w:color w:val="auto"/>
        </w:rPr>
        <w:t>parag</w:t>
      </w:r>
      <w:proofErr w:type="spellEnd"/>
      <w:r w:rsidRPr="003747D4">
        <w:rPr>
          <w:rFonts w:ascii="Calibri" w:hAnsi="Calibri" w:cs="Calibri"/>
          <w:color w:val="auto"/>
        </w:rPr>
        <w:t xml:space="preserve">. 9 și art. 34 alin. (2) din Directiva </w:t>
      </w:r>
      <w:r w:rsidRPr="003747D4">
        <w:rPr>
          <w:rFonts w:ascii="Calibri" w:hAnsi="Calibri" w:cs="Calibri"/>
          <w:color w:val="auto"/>
          <w:bdr w:val="none" w:sz="0" w:space="0" w:color="auto" w:frame="1"/>
        </w:rPr>
        <w:t>(UE) 2015/849 a Parlamentului European și a Consiliului, art. 9 alin. (3) și (4) și art. 33 alin. (5) din Legea nr. 129/2019.</w:t>
      </w:r>
    </w:p>
    <w:p w14:paraId="63A6D786"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Scopul reglementării sectoriale constă în adaptarea dispozițiilor din Legea nr. 129/2019, denumită în continuare „Lege”, din Ordinul Președintelui O.N.P.C.S.B. nr. 37/2021, din O.U.G. nr. 202/2008 aprobată prin Legea nr. 217/2009 privind punerea în aplicare a sancțiunilor internaționale și din H.G. nr. 603/2011 la specificul și principiile profesiei de avocat.</w:t>
      </w:r>
    </w:p>
    <w:p w14:paraId="12A70A1F" w14:textId="77777777" w:rsidR="001E559F" w:rsidRPr="003747D4" w:rsidRDefault="001E559F" w:rsidP="001E559F">
      <w:pPr>
        <w:pStyle w:val="Corp"/>
        <w:spacing w:line="276" w:lineRule="auto"/>
        <w:ind w:firstLine="720"/>
        <w:jc w:val="both"/>
        <w:rPr>
          <w:rFonts w:ascii="Calibri" w:hAnsi="Calibri" w:cs="Calibri"/>
          <w:color w:val="auto"/>
        </w:rPr>
      </w:pPr>
    </w:p>
    <w:p w14:paraId="2D3C03F5" w14:textId="77777777" w:rsidR="001E559F" w:rsidRPr="003747D4" w:rsidRDefault="001E559F" w:rsidP="001E559F">
      <w:pPr>
        <w:pStyle w:val="Corp"/>
        <w:spacing w:line="276" w:lineRule="auto"/>
        <w:ind w:firstLine="720"/>
        <w:jc w:val="both"/>
        <w:rPr>
          <w:rFonts w:ascii="Calibri" w:hAnsi="Calibri" w:cs="Calibri"/>
          <w:b/>
          <w:bCs/>
          <w:color w:val="auto"/>
        </w:rPr>
      </w:pPr>
      <w:r w:rsidRPr="003747D4">
        <w:rPr>
          <w:rFonts w:ascii="Calibri" w:hAnsi="Calibri" w:cs="Calibri"/>
          <w:b/>
          <w:bCs/>
          <w:color w:val="auto"/>
        </w:rPr>
        <w:t>Capitolul I</w:t>
      </w:r>
      <w:r w:rsidRPr="003747D4">
        <w:rPr>
          <w:rFonts w:ascii="Calibri" w:hAnsi="Calibri" w:cs="Calibri"/>
          <w:color w:val="auto"/>
        </w:rPr>
        <w:t xml:space="preserve">. </w:t>
      </w:r>
      <w:r w:rsidRPr="003747D4">
        <w:rPr>
          <w:rFonts w:ascii="Calibri" w:hAnsi="Calibri" w:cs="Calibri"/>
          <w:b/>
          <w:bCs/>
          <w:color w:val="auto"/>
        </w:rPr>
        <w:t>Avocat – subiect al Legii nr. 129/2019.</w:t>
      </w:r>
    </w:p>
    <w:p w14:paraId="7270866C" w14:textId="77777777" w:rsidR="001E559F" w:rsidRPr="003747D4" w:rsidRDefault="001E559F" w:rsidP="001E559F">
      <w:pPr>
        <w:pStyle w:val="Corp"/>
        <w:spacing w:line="276" w:lineRule="auto"/>
        <w:ind w:firstLine="720"/>
        <w:jc w:val="both"/>
        <w:rPr>
          <w:rFonts w:ascii="Calibri" w:hAnsi="Calibri" w:cs="Calibri"/>
          <w:color w:val="auto"/>
        </w:rPr>
      </w:pPr>
      <w:commentRangeStart w:id="1"/>
      <w:r w:rsidRPr="003747D4">
        <w:rPr>
          <w:rFonts w:ascii="Calibri" w:hAnsi="Calibri" w:cs="Calibri"/>
          <w:b/>
          <w:bCs/>
          <w:color w:val="auto"/>
        </w:rPr>
        <w:t xml:space="preserve">Art. 1. </w:t>
      </w:r>
      <w:r w:rsidRPr="003747D4">
        <w:rPr>
          <w:rFonts w:ascii="Calibri" w:hAnsi="Calibri" w:cs="Calibri"/>
          <w:color w:val="auto"/>
        </w:rPr>
        <w:t>Avocatul este subiect al Legii atunci când acordă asistență juridică pentru:</w:t>
      </w:r>
      <w:commentRangeEnd w:id="1"/>
      <w:r w:rsidRPr="003747D4">
        <w:rPr>
          <w:rStyle w:val="CommentReference"/>
          <w:rFonts w:ascii="Calibri" w:hAnsi="Calibri" w:cs="Calibri"/>
        </w:rPr>
        <w:commentReference w:id="1"/>
      </w:r>
    </w:p>
    <w:p w14:paraId="61E1D4D1"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a) întocmirea sau perfectarea de operațiuni pentru clienții lor privind cumpărarea ori vânzarea de bunuri imobile, acțiuni sau părți sociale ori elemente alte fondului de comerț;</w:t>
      </w:r>
    </w:p>
    <w:p w14:paraId="2FAE523C"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b) administrarea instrumentelor financiare, valorilor mobiliare sau a altor bunuri ale clienților;</w:t>
      </w:r>
    </w:p>
    <w:p w14:paraId="4D958862"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c) operațiuni sau tranzacții care implică o sumă de bani sau un transfer de proprietate;</w:t>
      </w:r>
    </w:p>
    <w:p w14:paraId="7C9E0777"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d) constituirea sau administrarea de conturi bancare, de economii ori de instrumente financiare;</w:t>
      </w:r>
    </w:p>
    <w:p w14:paraId="559167B3"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e) organizarea procesului de subscriere a aporturilor necesare constituirii, funcționării sau administrării unei societăți;</w:t>
      </w:r>
    </w:p>
    <w:p w14:paraId="46442774"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f) constituirea, administrarea ori conducerea unor societăți, organisme de plasament colectiv în valori mobiliare sau a altor structuri similare;</w:t>
      </w:r>
    </w:p>
    <w:p w14:paraId="3FAA566C"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g) crearea, funcționarea sau administrarea de fiducii, societăți, fundații sau structuri similare.</w:t>
      </w:r>
    </w:p>
    <w:p w14:paraId="04C23971" w14:textId="77777777" w:rsidR="001E559F" w:rsidRPr="003747D4" w:rsidRDefault="001E559F" w:rsidP="001E559F">
      <w:pPr>
        <w:pStyle w:val="Corp"/>
        <w:spacing w:line="276" w:lineRule="auto"/>
        <w:ind w:firstLine="720"/>
        <w:jc w:val="both"/>
        <w:rPr>
          <w:rFonts w:ascii="Calibri" w:hAnsi="Calibri" w:cs="Calibri"/>
          <w:color w:val="auto"/>
        </w:rPr>
      </w:pPr>
      <w:commentRangeStart w:id="2"/>
      <w:r w:rsidRPr="003747D4">
        <w:rPr>
          <w:rFonts w:ascii="Calibri" w:hAnsi="Calibri" w:cs="Calibri"/>
          <w:b/>
          <w:bCs/>
          <w:color w:val="auto"/>
        </w:rPr>
        <w:t xml:space="preserve">Art. 2. </w:t>
      </w:r>
      <w:r w:rsidRPr="003747D4">
        <w:rPr>
          <w:rFonts w:ascii="Calibri" w:hAnsi="Calibri" w:cs="Calibri"/>
          <w:color w:val="auto"/>
        </w:rPr>
        <w:t>Avocatul este subiect al Legii atunci când participă în numele sau pentru clientul lui în orice operațiune cu caracter financiar ori vizând bunuri imobile.</w:t>
      </w:r>
      <w:commentRangeEnd w:id="2"/>
      <w:r w:rsidRPr="003747D4">
        <w:rPr>
          <w:rStyle w:val="CommentReference"/>
          <w:rFonts w:ascii="Calibri" w:hAnsi="Calibri" w:cs="Calibri"/>
        </w:rPr>
        <w:commentReference w:id="2"/>
      </w:r>
    </w:p>
    <w:p w14:paraId="2A224D1D"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b/>
          <w:bCs/>
          <w:color w:val="auto"/>
        </w:rPr>
        <w:t xml:space="preserve">Art. 3. </w:t>
      </w:r>
      <w:r w:rsidRPr="003747D4">
        <w:rPr>
          <w:rFonts w:ascii="Calibri" w:hAnsi="Calibri" w:cs="Calibri"/>
          <w:color w:val="auto"/>
        </w:rPr>
        <w:t>Avocatul nu este subiect al Legii atunci când acordă asistență pentru realizarea unor activități distincte de cele menționate la art. 1 și art. 2.</w:t>
      </w:r>
    </w:p>
    <w:p w14:paraId="00F519B2" w14:textId="77777777" w:rsidR="001E559F" w:rsidRPr="003747D4" w:rsidRDefault="001E559F" w:rsidP="001E559F">
      <w:pPr>
        <w:pStyle w:val="Corp"/>
        <w:spacing w:line="276" w:lineRule="auto"/>
        <w:ind w:firstLine="720"/>
        <w:jc w:val="both"/>
        <w:rPr>
          <w:rFonts w:ascii="Calibri" w:hAnsi="Calibri" w:cs="Calibri"/>
          <w:color w:val="auto"/>
        </w:rPr>
      </w:pPr>
      <w:commentRangeStart w:id="3"/>
      <w:r w:rsidRPr="003747D4">
        <w:rPr>
          <w:rFonts w:ascii="Calibri" w:hAnsi="Calibri" w:cs="Calibri"/>
          <w:b/>
          <w:bCs/>
          <w:color w:val="auto"/>
        </w:rPr>
        <w:lastRenderedPageBreak/>
        <w:t xml:space="preserve">Art. 4. </w:t>
      </w:r>
      <w:r w:rsidRPr="003747D4">
        <w:rPr>
          <w:rFonts w:ascii="Calibri" w:hAnsi="Calibri" w:cs="Calibri"/>
          <w:color w:val="auto"/>
        </w:rPr>
        <w:t>Avocatul nu este subiect al Legii atunci când evaluează situația juridică a clientului în cadrul unor proceduri judiciare sau în cazul îndeplinirii obligației de apărare sau de reprezentare a clientului în proceduri judiciare sau în legătură cu aceste proceduri, inclusiv în situația în care acordă consultanță juridică privind inițierea sau evitarea unor proceduri judiciare.</w:t>
      </w:r>
      <w:commentRangeEnd w:id="3"/>
      <w:r w:rsidRPr="003747D4">
        <w:rPr>
          <w:rStyle w:val="CommentReference"/>
          <w:rFonts w:ascii="Calibri" w:hAnsi="Calibri" w:cs="Calibri"/>
        </w:rPr>
        <w:commentReference w:id="3"/>
      </w:r>
    </w:p>
    <w:p w14:paraId="55E77211"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b/>
          <w:bCs/>
          <w:color w:val="auto"/>
        </w:rPr>
        <w:t xml:space="preserve">Art. 5. </w:t>
      </w:r>
      <w:r w:rsidRPr="003747D4">
        <w:rPr>
          <w:rFonts w:ascii="Calibri" w:hAnsi="Calibri" w:cs="Calibri"/>
          <w:color w:val="auto"/>
        </w:rPr>
        <w:t>Avocatul colaborator cu drept de clientelă proprie este subiect al Legii numai în raport de activitatea profesională realizată pentru clientul propriu.</w:t>
      </w:r>
    </w:p>
    <w:p w14:paraId="2B0FDD0E" w14:textId="77777777" w:rsidR="001E559F" w:rsidRPr="003747D4" w:rsidRDefault="001E559F" w:rsidP="001E559F">
      <w:pPr>
        <w:pStyle w:val="Corp"/>
        <w:spacing w:line="276" w:lineRule="auto"/>
        <w:ind w:firstLine="720"/>
        <w:jc w:val="both"/>
        <w:rPr>
          <w:rFonts w:ascii="Calibri" w:hAnsi="Calibri" w:cs="Calibri"/>
          <w:color w:val="auto"/>
        </w:rPr>
      </w:pPr>
      <w:commentRangeStart w:id="4"/>
      <w:r w:rsidRPr="003747D4">
        <w:rPr>
          <w:rFonts w:ascii="Calibri" w:hAnsi="Calibri" w:cs="Calibri"/>
          <w:b/>
          <w:bCs/>
          <w:color w:val="auto"/>
        </w:rPr>
        <w:t xml:space="preserve">Art. 6. </w:t>
      </w:r>
      <w:r w:rsidRPr="003747D4">
        <w:rPr>
          <w:rFonts w:ascii="Calibri" w:hAnsi="Calibri" w:cs="Calibri"/>
          <w:color w:val="auto"/>
        </w:rPr>
        <w:t>Avocatul colaborator care nu are drept la clientelă proprie sau avocatul salarizat în interiorul profesiei nu este subiect al Legii, situație în care obligațiile prevăzute de Lege și normele sectoriale revin în sarcina avocatului titular sau, după caz, avocatului coordonator al formei de exercitare a profesiei de avocat.</w:t>
      </w:r>
      <w:commentRangeEnd w:id="4"/>
      <w:r w:rsidRPr="003747D4">
        <w:rPr>
          <w:rStyle w:val="CommentReference"/>
          <w:rFonts w:ascii="Calibri" w:hAnsi="Calibri" w:cs="Calibri"/>
        </w:rPr>
        <w:commentReference w:id="4"/>
      </w:r>
    </w:p>
    <w:p w14:paraId="1AA03017"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b/>
          <w:bCs/>
          <w:color w:val="auto"/>
        </w:rPr>
        <w:t xml:space="preserve">Art. 7. </w:t>
      </w:r>
      <w:r w:rsidRPr="003747D4">
        <w:rPr>
          <w:rFonts w:ascii="Calibri" w:hAnsi="Calibri" w:cs="Calibri"/>
          <w:color w:val="auto"/>
        </w:rPr>
        <w:t>Nerespectarea de către avocatul care este subiect al Legii a normelor sectoriale constituie abatere disciplinară și se sancționează potrivit Statului profesiei de avocat.</w:t>
      </w:r>
    </w:p>
    <w:p w14:paraId="0E619935" w14:textId="77777777" w:rsidR="001E559F" w:rsidRPr="003747D4" w:rsidRDefault="001E559F" w:rsidP="001E559F">
      <w:pPr>
        <w:pStyle w:val="Corp"/>
        <w:spacing w:line="276" w:lineRule="auto"/>
        <w:jc w:val="both"/>
        <w:rPr>
          <w:rFonts w:ascii="Calibri" w:hAnsi="Calibri" w:cs="Calibri"/>
          <w:color w:val="auto"/>
        </w:rPr>
      </w:pPr>
    </w:p>
    <w:p w14:paraId="513F383B" w14:textId="77777777" w:rsidR="001E559F" w:rsidRPr="003747D4" w:rsidRDefault="001E559F" w:rsidP="001E559F">
      <w:pPr>
        <w:pStyle w:val="Corp"/>
        <w:spacing w:line="276" w:lineRule="auto"/>
        <w:jc w:val="both"/>
        <w:rPr>
          <w:rFonts w:ascii="Calibri" w:hAnsi="Calibri" w:cs="Calibri"/>
          <w:b/>
          <w:bCs/>
          <w:color w:val="auto"/>
        </w:rPr>
      </w:pPr>
      <w:r w:rsidRPr="003747D4">
        <w:rPr>
          <w:rFonts w:ascii="Calibri" w:hAnsi="Calibri" w:cs="Calibri"/>
          <w:color w:val="auto"/>
        </w:rPr>
        <w:tab/>
      </w:r>
      <w:commentRangeStart w:id="5"/>
      <w:r w:rsidRPr="003747D4">
        <w:rPr>
          <w:rFonts w:ascii="Calibri" w:hAnsi="Calibri" w:cs="Calibri"/>
          <w:b/>
          <w:bCs/>
          <w:color w:val="auto"/>
        </w:rPr>
        <w:t>Capitolul II. Registre speciale.</w:t>
      </w:r>
      <w:commentRangeEnd w:id="5"/>
      <w:r w:rsidRPr="003747D4">
        <w:rPr>
          <w:rStyle w:val="CommentReference"/>
          <w:rFonts w:ascii="Calibri" w:hAnsi="Calibri" w:cs="Calibri"/>
        </w:rPr>
        <w:commentReference w:id="5"/>
      </w:r>
    </w:p>
    <w:p w14:paraId="015D0F32"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b/>
          <w:bCs/>
          <w:color w:val="auto"/>
        </w:rPr>
        <w:tab/>
        <w:t>Art. 8. Registrul avocaților care desfășoară activități fiduciare.</w:t>
      </w:r>
    </w:p>
    <w:p w14:paraId="6A1CA9E2"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color w:val="auto"/>
        </w:rPr>
        <w:tab/>
        <w:t>Avocatul care desfășoară activități fiduciare în condițiile Codului Civil, ale Legii nr. 51/1995 pentru organizarea și exercitarea profesiei de avocat, republicată și ale Statutului profesiei de avocat este obligat să se înregistreze în Registrul avocaților care desfășoară activități fiduciare, în conformitate cu procedura prevăzută în Regulamentul de organizare și funcționare a registrului, aprobat de Consiliul U.N.B.R.</w:t>
      </w:r>
    </w:p>
    <w:p w14:paraId="68AE3032" w14:textId="77777777" w:rsidR="001E559F" w:rsidRPr="003747D4" w:rsidRDefault="001E559F" w:rsidP="001E559F">
      <w:pPr>
        <w:pStyle w:val="Corp"/>
        <w:spacing w:line="276" w:lineRule="auto"/>
        <w:jc w:val="both"/>
        <w:rPr>
          <w:rFonts w:ascii="Calibri" w:hAnsi="Calibri" w:cs="Calibri"/>
          <w:b/>
          <w:bCs/>
          <w:color w:val="auto"/>
        </w:rPr>
      </w:pPr>
      <w:r w:rsidRPr="003747D4">
        <w:rPr>
          <w:rFonts w:ascii="Calibri" w:hAnsi="Calibri" w:cs="Calibri"/>
          <w:color w:val="auto"/>
        </w:rPr>
        <w:tab/>
      </w:r>
      <w:r w:rsidRPr="003747D4">
        <w:rPr>
          <w:rFonts w:ascii="Calibri" w:hAnsi="Calibri" w:cs="Calibri"/>
          <w:b/>
          <w:bCs/>
          <w:color w:val="auto"/>
        </w:rPr>
        <w:t>Art. 9. Registrul avocaților care desfășoară servicii de stabilire temporară a sediului pentru societăți.</w:t>
      </w:r>
    </w:p>
    <w:p w14:paraId="7D7BE572"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b/>
          <w:bCs/>
          <w:color w:val="auto"/>
        </w:rPr>
        <w:tab/>
      </w:r>
      <w:r w:rsidRPr="003747D4">
        <w:rPr>
          <w:rFonts w:ascii="Calibri" w:hAnsi="Calibri" w:cs="Calibri"/>
          <w:color w:val="auto"/>
        </w:rPr>
        <w:t>Avocatul care desfășoară servicii de stabilire temporară a sediului pentru societăți la sediul profesional al avocatului în condițiile Legii nr. 51/1995 pentru organizarea și exercitarea profesiei de avocat, republicată și ale Statutului profesiei de avocat, a căror frecvență depășește 5 (cinci) activități de stabilire a sediului calculate în decursul unui an indiferent dacă există sau nu identitate de beneficiar real, este obligat să se înregistreze în Registrul avocaților care desfășoară activități de stabilire temporară a sediului pentru societăți, în conformitate cu procedura prevăzută în Regulamentul de organizare și funcționare a registrului, aprobat de Consiliul U.N.B.R.</w:t>
      </w:r>
    </w:p>
    <w:p w14:paraId="151E4D37" w14:textId="77777777" w:rsidR="001E559F" w:rsidRPr="003747D4" w:rsidRDefault="001E559F" w:rsidP="001E559F">
      <w:pPr>
        <w:pStyle w:val="Corp"/>
        <w:spacing w:line="276" w:lineRule="auto"/>
        <w:jc w:val="both"/>
        <w:rPr>
          <w:rFonts w:ascii="Calibri" w:hAnsi="Calibri" w:cs="Calibri"/>
          <w:b/>
          <w:bCs/>
          <w:color w:val="auto"/>
        </w:rPr>
      </w:pPr>
    </w:p>
    <w:p w14:paraId="4684E1C4" w14:textId="77777777" w:rsidR="001E559F" w:rsidRPr="003747D4" w:rsidRDefault="001E559F" w:rsidP="001E559F">
      <w:pPr>
        <w:pStyle w:val="Corp"/>
        <w:spacing w:line="276" w:lineRule="auto"/>
        <w:jc w:val="both"/>
        <w:rPr>
          <w:rFonts w:ascii="Calibri" w:hAnsi="Calibri" w:cs="Calibri"/>
          <w:b/>
          <w:bCs/>
          <w:color w:val="auto"/>
        </w:rPr>
      </w:pPr>
      <w:r w:rsidRPr="003747D4">
        <w:rPr>
          <w:rFonts w:ascii="Calibri" w:hAnsi="Calibri" w:cs="Calibri"/>
          <w:b/>
          <w:bCs/>
          <w:color w:val="auto"/>
        </w:rPr>
        <w:tab/>
        <w:t>Capitolul III. Prevenirea și combaterea spălării banilor și a finanțării terorismului.</w:t>
      </w:r>
    </w:p>
    <w:p w14:paraId="72D5EB2D"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b/>
          <w:bCs/>
          <w:color w:val="auto"/>
        </w:rPr>
        <w:tab/>
        <w:t>Art. 10. Măsuri de prevenție.</w:t>
      </w:r>
    </w:p>
    <w:p w14:paraId="13AC086C"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(1)</w:t>
      </w:r>
      <w:r w:rsidRPr="003747D4">
        <w:rPr>
          <w:rFonts w:ascii="Calibri" w:hAnsi="Calibri" w:cs="Calibri"/>
          <w:b/>
          <w:bCs/>
          <w:color w:val="auto"/>
        </w:rPr>
        <w:t xml:space="preserve"> </w:t>
      </w:r>
      <w:r w:rsidRPr="003747D4">
        <w:rPr>
          <w:rFonts w:ascii="Calibri" w:hAnsi="Calibri" w:cs="Calibri"/>
          <w:color w:val="auto"/>
        </w:rPr>
        <w:t xml:space="preserve">În scopul prevenirii spălării banilor și a finanțării terorismului avocatul aplică cu ocazia încheierii contractului de asistență juridică procedurile prevăzute de art. 24 alin. (1) – (5) și (7) Lege, inclusiv cele privind: </w:t>
      </w:r>
    </w:p>
    <w:p w14:paraId="49CBE070"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color w:val="auto"/>
        </w:rPr>
        <w:tab/>
      </w:r>
      <w:commentRangeStart w:id="6"/>
      <w:r w:rsidRPr="003747D4">
        <w:rPr>
          <w:rFonts w:ascii="Calibri" w:hAnsi="Calibri" w:cs="Calibri"/>
          <w:color w:val="auto"/>
        </w:rPr>
        <w:t>a) evaluarea riscurilor serviciilor solicitate de către client;</w:t>
      </w:r>
      <w:commentRangeEnd w:id="6"/>
      <w:r w:rsidRPr="003747D4">
        <w:rPr>
          <w:rStyle w:val="CommentReference"/>
          <w:rFonts w:ascii="Calibri" w:hAnsi="Calibri" w:cs="Calibri"/>
        </w:rPr>
        <w:commentReference w:id="6"/>
      </w:r>
    </w:p>
    <w:p w14:paraId="2D6E1449"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color w:val="auto"/>
        </w:rPr>
        <w:tab/>
        <w:t>b) evaluarea riscurilor activității desfășurate de către avocat;</w:t>
      </w:r>
    </w:p>
    <w:p w14:paraId="730D0810"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color w:val="auto"/>
        </w:rPr>
        <w:tab/>
        <w:t>c</w:t>
      </w:r>
      <w:commentRangeStart w:id="7"/>
      <w:r w:rsidRPr="003747D4">
        <w:rPr>
          <w:rFonts w:ascii="Calibri" w:hAnsi="Calibri" w:cs="Calibri"/>
          <w:color w:val="auto"/>
        </w:rPr>
        <w:t>) măsuri aplicabile în materie de cunoaștere a clientului;</w:t>
      </w:r>
      <w:commentRangeEnd w:id="7"/>
      <w:r w:rsidRPr="003747D4">
        <w:rPr>
          <w:rStyle w:val="CommentReference"/>
          <w:rFonts w:ascii="Calibri" w:hAnsi="Calibri" w:cs="Calibri"/>
        </w:rPr>
        <w:commentReference w:id="7"/>
      </w:r>
    </w:p>
    <w:p w14:paraId="55FB3BF5"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color w:val="auto"/>
        </w:rPr>
        <w:tab/>
        <w:t>d</w:t>
      </w:r>
      <w:commentRangeStart w:id="8"/>
      <w:r w:rsidRPr="003747D4">
        <w:rPr>
          <w:rFonts w:ascii="Calibri" w:hAnsi="Calibri" w:cs="Calibri"/>
          <w:color w:val="auto"/>
        </w:rPr>
        <w:t>) identificarea beneficiarului real;</w:t>
      </w:r>
      <w:commentRangeEnd w:id="8"/>
      <w:r w:rsidRPr="003747D4">
        <w:rPr>
          <w:rStyle w:val="CommentReference"/>
          <w:rFonts w:ascii="Calibri" w:hAnsi="Calibri" w:cs="Calibri"/>
        </w:rPr>
        <w:commentReference w:id="8"/>
      </w:r>
    </w:p>
    <w:p w14:paraId="22380072"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color w:val="auto"/>
        </w:rPr>
        <w:tab/>
        <w:t>e</w:t>
      </w:r>
      <w:commentRangeStart w:id="9"/>
      <w:r w:rsidRPr="003747D4">
        <w:rPr>
          <w:rFonts w:ascii="Calibri" w:hAnsi="Calibri" w:cs="Calibri"/>
          <w:color w:val="auto"/>
        </w:rPr>
        <w:t>) păstrarea evidenței procedurilor aplicate, măsurilor luate și a documentelor justificative;</w:t>
      </w:r>
      <w:commentRangeEnd w:id="9"/>
      <w:r w:rsidRPr="003747D4">
        <w:rPr>
          <w:rStyle w:val="CommentReference"/>
          <w:rFonts w:ascii="Calibri" w:hAnsi="Calibri" w:cs="Calibri"/>
        </w:rPr>
        <w:commentReference w:id="9"/>
      </w:r>
    </w:p>
    <w:p w14:paraId="5975D21B"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color w:val="auto"/>
        </w:rPr>
        <w:lastRenderedPageBreak/>
        <w:tab/>
        <w:t xml:space="preserve">f) stabilirea politicilor și a normelor interne, a mecanismelor de control intern și a procedurilor de administrare a riscurilor de spălare a banilor și de finanțare a terorismului, inclusiv modalitatea de punere în aplicare a sancțiunilor internaționale, corespunzător naturii și volumului activității desfășurate de către avocat. </w:t>
      </w:r>
    </w:p>
    <w:p w14:paraId="180A3498"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color w:val="auto"/>
        </w:rPr>
        <w:tab/>
      </w:r>
      <w:commentRangeStart w:id="10"/>
      <w:r w:rsidRPr="003747D4">
        <w:rPr>
          <w:rFonts w:ascii="Calibri" w:hAnsi="Calibri" w:cs="Calibri"/>
          <w:color w:val="auto"/>
        </w:rPr>
        <w:t>(2) Avocatul actualizează periodic măsurile de cunoaștere a clientului până la încetarea contractului de asistență juridică. Perioada de actualizare se stabilește de către avocat în funcție de rezultatul procedurii de evaluare a riscurilor și care nu poate fi mai mare de un an de zile de la data ultimei actualizări.</w:t>
      </w:r>
      <w:commentRangeEnd w:id="10"/>
      <w:r w:rsidRPr="003747D4">
        <w:rPr>
          <w:rStyle w:val="CommentReference"/>
          <w:rFonts w:ascii="Calibri" w:hAnsi="Calibri" w:cs="Calibri"/>
        </w:rPr>
        <w:commentReference w:id="10"/>
      </w:r>
    </w:p>
    <w:p w14:paraId="5A907C71" w14:textId="77777777" w:rsidR="001E559F" w:rsidRPr="003747D4" w:rsidRDefault="001E559F" w:rsidP="001E559F">
      <w:pPr>
        <w:pStyle w:val="Corp"/>
        <w:spacing w:line="276" w:lineRule="auto"/>
        <w:jc w:val="both"/>
        <w:rPr>
          <w:rFonts w:ascii="Calibri" w:hAnsi="Calibri" w:cs="Calibri"/>
          <w:color w:val="auto"/>
        </w:rPr>
      </w:pPr>
      <w:r w:rsidRPr="003747D4">
        <w:rPr>
          <w:rFonts w:ascii="Calibri" w:hAnsi="Calibri" w:cs="Calibri"/>
          <w:color w:val="auto"/>
        </w:rPr>
        <w:tab/>
      </w:r>
      <w:commentRangeStart w:id="11"/>
      <w:r w:rsidRPr="003747D4">
        <w:rPr>
          <w:rFonts w:ascii="Calibri" w:hAnsi="Calibri" w:cs="Calibri"/>
          <w:color w:val="auto"/>
        </w:rPr>
        <w:t>(3) Procedurile de prevenire a spălării banilor și a finanțării terorismului se aplică și clienților pentru care sunt încheiate contracte de asistentă juridică la momentul intrării în vigoare a normelor sectoriale.</w:t>
      </w:r>
      <w:commentRangeEnd w:id="11"/>
      <w:r w:rsidRPr="003747D4">
        <w:rPr>
          <w:rStyle w:val="CommentReference"/>
          <w:rFonts w:ascii="Calibri" w:hAnsi="Calibri" w:cs="Calibri"/>
        </w:rPr>
        <w:commentReference w:id="11"/>
      </w:r>
    </w:p>
    <w:p w14:paraId="7402D0FE" w14:textId="77777777" w:rsidR="001E559F" w:rsidRPr="003747D4" w:rsidRDefault="001E559F" w:rsidP="001E559F">
      <w:pPr>
        <w:pStyle w:val="Corp"/>
        <w:spacing w:line="276" w:lineRule="auto"/>
        <w:ind w:firstLine="720"/>
        <w:jc w:val="both"/>
        <w:rPr>
          <w:rFonts w:ascii="Calibri" w:hAnsi="Calibri" w:cs="Calibri"/>
          <w:color w:val="auto"/>
        </w:rPr>
      </w:pPr>
      <w:commentRangeStart w:id="12"/>
      <w:r w:rsidRPr="003747D4">
        <w:rPr>
          <w:rFonts w:ascii="Calibri" w:hAnsi="Calibri" w:cs="Calibri"/>
          <w:color w:val="auto"/>
        </w:rPr>
        <w:t xml:space="preserve">(4) În cadrul procedurii de evaluare a riscului de spălare de bani și de finanțare a terorismului, fără a se restrânge situațiile aplicabile prevăzute la art. 17 alin. (14) din Lege, constituie factori de risc cu potențial mărit ce presupun aplicarea măsurilor suplimentare de cunoaștere a clientelei: serviciile fiduciare și serviciile de stabilire temporară a sediului pentru societăți la sediul profesional al avocatului a căror frecvență depășește două activități de stabilire a sediului pentru societăți între care există, în tot sau în parte, o identitate de beneficiar real. </w:t>
      </w:r>
      <w:commentRangeEnd w:id="12"/>
      <w:r w:rsidRPr="003747D4">
        <w:rPr>
          <w:rStyle w:val="CommentReference"/>
          <w:rFonts w:ascii="Calibri" w:hAnsi="Calibri" w:cs="Calibri"/>
        </w:rPr>
        <w:commentReference w:id="12"/>
      </w:r>
    </w:p>
    <w:p w14:paraId="2B18873A" w14:textId="77777777" w:rsidR="001E559F" w:rsidRPr="003747D4" w:rsidRDefault="001E559F" w:rsidP="001E559F">
      <w:pPr>
        <w:pStyle w:val="Corp"/>
        <w:spacing w:line="276" w:lineRule="auto"/>
        <w:ind w:firstLine="720"/>
        <w:jc w:val="both"/>
        <w:rPr>
          <w:rFonts w:ascii="Calibri" w:hAnsi="Calibri" w:cs="Calibri"/>
          <w:color w:val="auto"/>
        </w:rPr>
      </w:pPr>
      <w:commentRangeStart w:id="13"/>
      <w:r w:rsidRPr="003747D4">
        <w:rPr>
          <w:rFonts w:ascii="Calibri" w:hAnsi="Calibri" w:cs="Calibri"/>
          <w:color w:val="auto"/>
        </w:rPr>
        <w:t>(5) În aplicarea procedurii de evaluare a riscurilor și de cunoaștere a clientelei avocatul va consulta listele informative aflate pe pagina de internet a O.N.P.C.S.B. și pe pagina de internet a U.N.B.R. la secțiunea dedicată raporturilor cu O.N.P.C.S.B. referitoare la jurisdicții necooperante din punct de vedere fiscal, jurisdicții cu grad înalt de risc de spălare a banilor și/sau de finanțare a terorismului și jurisdicții aflate sub monitorizarea organismelor internaționale relevante, pentru risc de spălare a banilor / finanțare a terorismului.</w:t>
      </w:r>
      <w:commentRangeEnd w:id="13"/>
      <w:r w:rsidRPr="003747D4">
        <w:rPr>
          <w:rStyle w:val="CommentReference"/>
          <w:rFonts w:ascii="Calibri" w:hAnsi="Calibri" w:cs="Calibri"/>
        </w:rPr>
        <w:commentReference w:id="13"/>
      </w:r>
    </w:p>
    <w:p w14:paraId="670885B9" w14:textId="77777777" w:rsidR="001E559F" w:rsidRPr="003747D4" w:rsidRDefault="001E559F" w:rsidP="001E559F">
      <w:pPr>
        <w:pStyle w:val="Corp"/>
        <w:spacing w:line="276" w:lineRule="auto"/>
        <w:ind w:firstLine="720"/>
        <w:jc w:val="both"/>
        <w:rPr>
          <w:rFonts w:ascii="Calibri" w:hAnsi="Calibri" w:cs="Calibri"/>
          <w:color w:val="auto"/>
        </w:rPr>
      </w:pPr>
      <w:commentRangeStart w:id="14"/>
      <w:r w:rsidRPr="003747D4">
        <w:rPr>
          <w:rFonts w:ascii="Calibri" w:hAnsi="Calibri" w:cs="Calibri"/>
          <w:color w:val="auto"/>
        </w:rPr>
        <w:t>(6) În aplicarea procedurii de evaluare a riscurilor și de cunoaștere a clientelei avocatul va consulta listele informative aflate pe pagina de internet a O.N.P.C.S.B. și pe pagina de internet a U.N.B.R. la secțiunea dedicată raporturilor cu O.N.P.C.S.B. cu privire la sancțiunile internaționale.</w:t>
      </w:r>
      <w:commentRangeEnd w:id="14"/>
      <w:r w:rsidRPr="003747D4">
        <w:rPr>
          <w:rStyle w:val="CommentReference"/>
          <w:rFonts w:ascii="Calibri" w:hAnsi="Calibri" w:cs="Calibri"/>
        </w:rPr>
        <w:commentReference w:id="14"/>
      </w:r>
    </w:p>
    <w:p w14:paraId="4CFEF940" w14:textId="77777777" w:rsidR="001E559F" w:rsidRPr="003747D4" w:rsidRDefault="001E559F" w:rsidP="001E559F">
      <w:pPr>
        <w:pStyle w:val="Corp"/>
        <w:spacing w:line="276" w:lineRule="auto"/>
        <w:ind w:firstLine="720"/>
        <w:jc w:val="both"/>
        <w:rPr>
          <w:rFonts w:ascii="Calibri" w:hAnsi="Calibri" w:cs="Calibri"/>
          <w:color w:val="auto"/>
        </w:rPr>
      </w:pPr>
      <w:commentRangeStart w:id="15"/>
      <w:r w:rsidRPr="003747D4">
        <w:rPr>
          <w:rFonts w:ascii="Calibri" w:hAnsi="Calibri" w:cs="Calibri"/>
          <w:color w:val="auto"/>
        </w:rPr>
        <w:t>(7) Dacă avocatul nu poate aplica măsurile de cunoaștere a clientelei nu va iniția sau, după caz, va înceta de îndată relația profesională cu acel client, fapt ce intră sub protecția secretului profesional al avocatului.</w:t>
      </w:r>
      <w:commentRangeEnd w:id="15"/>
      <w:r w:rsidRPr="003747D4">
        <w:rPr>
          <w:rStyle w:val="CommentReference"/>
          <w:rFonts w:ascii="Calibri" w:hAnsi="Calibri" w:cs="Calibri"/>
        </w:rPr>
        <w:commentReference w:id="15"/>
      </w:r>
    </w:p>
    <w:p w14:paraId="6CACED6E" w14:textId="77777777" w:rsidR="001E559F" w:rsidRPr="003747D4" w:rsidRDefault="001E559F" w:rsidP="001E559F">
      <w:pPr>
        <w:pStyle w:val="Corp"/>
        <w:spacing w:line="276" w:lineRule="auto"/>
        <w:ind w:firstLine="720"/>
        <w:jc w:val="both"/>
        <w:rPr>
          <w:rFonts w:ascii="Calibri" w:hAnsi="Calibri" w:cs="Calibri"/>
          <w:color w:val="auto"/>
        </w:rPr>
      </w:pPr>
      <w:commentRangeStart w:id="16"/>
      <w:r w:rsidRPr="003747D4">
        <w:rPr>
          <w:rFonts w:ascii="Calibri" w:hAnsi="Calibri" w:cs="Calibri"/>
          <w:color w:val="auto"/>
        </w:rPr>
        <w:t>(8) Obligația de a desemna una sau mai multe persoane care au responsabilități în aplicarea legii revine exclusiv formelor de exercitare a profesiei de avocat constituite ca societăți profesionale cu răspundere limitată, obligația fiind în sarcina avocatului sau, după caz, avocaților coordonatori.</w:t>
      </w:r>
      <w:commentRangeEnd w:id="16"/>
      <w:r w:rsidRPr="003747D4">
        <w:rPr>
          <w:rStyle w:val="CommentReference"/>
          <w:rFonts w:ascii="Calibri" w:hAnsi="Calibri" w:cs="Calibri"/>
        </w:rPr>
        <w:commentReference w:id="16"/>
      </w:r>
    </w:p>
    <w:p w14:paraId="411D855B"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 xml:space="preserve">(9) Avocatul are obligația de a adopta la nivelul formei de exercitare a profesiei politici și norme interne, mecanisme de control intern și proceduri de administrare a riscurilor de spălare a banilor și de finanțare a terorismului potrivit Legii, inclusiv modalitatea de punere în aplicare a sancțiunilor internaționale, corespunzător naturii și volumului activității desfășurate de către avocat. </w:t>
      </w:r>
    </w:p>
    <w:p w14:paraId="2491B938" w14:textId="77777777" w:rsidR="001E559F" w:rsidRPr="003747D4" w:rsidRDefault="001E559F" w:rsidP="001E559F">
      <w:pPr>
        <w:pStyle w:val="Corp"/>
        <w:spacing w:line="276" w:lineRule="auto"/>
        <w:ind w:firstLine="720"/>
        <w:jc w:val="both"/>
        <w:rPr>
          <w:rFonts w:ascii="Calibri" w:hAnsi="Calibri" w:cs="Calibri"/>
          <w:color w:val="auto"/>
        </w:rPr>
      </w:pPr>
      <w:commentRangeStart w:id="17"/>
      <w:r w:rsidRPr="003747D4">
        <w:rPr>
          <w:rFonts w:ascii="Calibri" w:hAnsi="Calibri" w:cs="Calibri"/>
          <w:color w:val="auto"/>
        </w:rPr>
        <w:t xml:space="preserve">(10) Avocații au obligația ca formele de exercitare a profesiei în care își desfășoară activitatea să efectueze anual cursuri de instruire cu privire la politicile și normele interne, mecanismele de control intern și procedurile de administrare a riscurilor de spălare a banilor </w:t>
      </w:r>
      <w:r w:rsidRPr="003747D4">
        <w:rPr>
          <w:rFonts w:ascii="Calibri" w:hAnsi="Calibri" w:cs="Calibri"/>
          <w:color w:val="auto"/>
        </w:rPr>
        <w:lastRenderedPageBreak/>
        <w:t>și de finanțare a terorismului pentru avocații cu care sunt încheiate contracte de colaborare, de conlucrare profesională sau de salarizare în interiorul profesiei.</w:t>
      </w:r>
      <w:commentRangeEnd w:id="17"/>
      <w:r w:rsidRPr="003747D4">
        <w:rPr>
          <w:rStyle w:val="CommentReference"/>
          <w:rFonts w:ascii="Calibri" w:hAnsi="Calibri" w:cs="Calibri"/>
        </w:rPr>
        <w:commentReference w:id="17"/>
      </w:r>
    </w:p>
    <w:p w14:paraId="057B65ED" w14:textId="77777777" w:rsidR="001E559F" w:rsidRPr="003747D4" w:rsidRDefault="001E559F" w:rsidP="001E559F">
      <w:pPr>
        <w:pStyle w:val="Corp"/>
        <w:spacing w:line="276" w:lineRule="auto"/>
        <w:ind w:firstLine="720"/>
        <w:jc w:val="both"/>
        <w:rPr>
          <w:rFonts w:ascii="Calibri" w:hAnsi="Calibri" w:cs="Calibri"/>
          <w:color w:val="auto"/>
        </w:rPr>
      </w:pPr>
      <w:commentRangeStart w:id="18"/>
      <w:r w:rsidRPr="003747D4">
        <w:rPr>
          <w:rFonts w:ascii="Calibri" w:hAnsi="Calibri" w:cs="Calibri"/>
          <w:color w:val="auto"/>
        </w:rPr>
        <w:t>(11) Obligația de a asigura o funcție de audit independent în scopul testării politicilor, normelor interne, mecanismelor și procedurilor de administrare a riscurilor de spălare a banilor și de finanțare a terorismului revine avocatului titular, avocatului sau, după caz, avocaților coordonatori din cadrul formelor de exercitare a profesiei de avocat, atunci când, în ultimul exercițiu financiar încheiat, depășesc cel puțin două din următoarele criterii:</w:t>
      </w:r>
    </w:p>
    <w:p w14:paraId="6A01DAA2"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a) patrimoniul de afectațiune al formei de exercitare a profesiei de avocat are o valoare contabilă stabilită potrivit legii de 16.000.000 lei, iar în cazul societății profesionale cu răspundere limitată valoarea contabilă a activelor stabilită potrivit legii este de 16.000.000 lei;</w:t>
      </w:r>
    </w:p>
    <w:p w14:paraId="642D7920"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 xml:space="preserve">b) totalul sumelor încasate în schimbul serviciilor avocațiale de avocatul titular al cabinetului individual, respectiv de toți avocații asociați din cadrul unor cabinete avocat asociate, a unei societăți civile profesionale sau a unei societăți profesionale cu răspundere limitată, fără a fi luată în calcul T.V.A. este de 32.000.000 lei; </w:t>
      </w:r>
    </w:p>
    <w:p w14:paraId="3F8CBFA1"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c) numărul mediu de contracte de colaborare, de conlucrare profesională și de salarizare în interiorul profesiei încheiate de către o singură formă de exercitare a profesiei este de 50;</w:t>
      </w:r>
      <w:commentRangeEnd w:id="18"/>
      <w:r w:rsidRPr="003747D4">
        <w:rPr>
          <w:rStyle w:val="CommentReference"/>
          <w:rFonts w:ascii="Calibri" w:hAnsi="Calibri" w:cs="Calibri"/>
        </w:rPr>
        <w:commentReference w:id="18"/>
      </w:r>
    </w:p>
    <w:p w14:paraId="15A058C2" w14:textId="77777777" w:rsidR="001E559F" w:rsidRPr="003747D4" w:rsidRDefault="001E559F" w:rsidP="001E559F">
      <w:pPr>
        <w:pStyle w:val="Corp"/>
        <w:spacing w:line="276" w:lineRule="auto"/>
        <w:ind w:firstLine="720"/>
        <w:jc w:val="both"/>
        <w:rPr>
          <w:rFonts w:ascii="Calibri" w:hAnsi="Calibri" w:cs="Calibri"/>
          <w:color w:val="auto"/>
        </w:rPr>
      </w:pPr>
      <w:commentRangeStart w:id="19"/>
      <w:r w:rsidRPr="003747D4">
        <w:rPr>
          <w:rFonts w:ascii="Calibri" w:hAnsi="Calibri" w:cs="Calibri"/>
          <w:color w:val="auto"/>
        </w:rPr>
        <w:t>(12) Este interzis avocatului să furnizeze clientului consultanță juridică în scopul spălării banilor sau al finanțării terorismului.</w:t>
      </w:r>
    </w:p>
    <w:p w14:paraId="4379D914"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color w:val="auto"/>
        </w:rPr>
        <w:t>(13) Este interzis avocatului să furnizeze clientului consultanță juridică atunci când din analiza unor elemente obiective are cunoștință de faptul că acesta dorește consultanța juridică în scopul spălării banilor sau al finanțării terorismului.</w:t>
      </w:r>
      <w:commentRangeEnd w:id="19"/>
      <w:r w:rsidRPr="003747D4">
        <w:rPr>
          <w:rStyle w:val="CommentReference"/>
          <w:rFonts w:ascii="Calibri" w:hAnsi="Calibri" w:cs="Calibri"/>
        </w:rPr>
        <w:commentReference w:id="19"/>
      </w:r>
    </w:p>
    <w:p w14:paraId="34899C7F" w14:textId="77777777" w:rsidR="001E559F" w:rsidRPr="003747D4" w:rsidRDefault="001E559F" w:rsidP="001E559F">
      <w:pPr>
        <w:pStyle w:val="Corp"/>
        <w:spacing w:line="276" w:lineRule="auto"/>
        <w:ind w:firstLine="720"/>
        <w:jc w:val="both"/>
        <w:rPr>
          <w:rFonts w:ascii="Calibri" w:hAnsi="Calibri" w:cs="Calibri"/>
          <w:color w:val="auto"/>
        </w:rPr>
      </w:pPr>
      <w:commentRangeStart w:id="20"/>
      <w:r w:rsidRPr="003747D4">
        <w:rPr>
          <w:rFonts w:ascii="Calibri" w:hAnsi="Calibri" w:cs="Calibri"/>
          <w:color w:val="auto"/>
        </w:rPr>
        <w:t>(14) Avocatul condamnat definitiv pentru infracțiunea de spălare de bani sau de finanțare a terorismului nu poate avea calitatea de avocat titular sau, după caz, de avocat coordonator al unei forme de exercitare a profesiei de avocat.</w:t>
      </w:r>
      <w:commentRangeEnd w:id="20"/>
      <w:r w:rsidRPr="003747D4">
        <w:rPr>
          <w:rStyle w:val="CommentReference"/>
          <w:rFonts w:ascii="Calibri" w:hAnsi="Calibri" w:cs="Calibri"/>
        </w:rPr>
        <w:commentReference w:id="20"/>
      </w:r>
    </w:p>
    <w:p w14:paraId="1E4591E0" w14:textId="77777777" w:rsidR="001E559F" w:rsidRPr="003747D4" w:rsidRDefault="001E559F" w:rsidP="001E559F">
      <w:pPr>
        <w:pStyle w:val="Corp"/>
        <w:spacing w:line="276" w:lineRule="auto"/>
        <w:jc w:val="both"/>
        <w:rPr>
          <w:rFonts w:ascii="Calibri" w:hAnsi="Calibri" w:cs="Calibri"/>
          <w:color w:val="auto"/>
        </w:rPr>
      </w:pPr>
    </w:p>
    <w:p w14:paraId="6DF9FAC4"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b/>
          <w:bCs/>
          <w:color w:val="auto"/>
        </w:rPr>
        <w:t>Art. 11. Măsuri de combatere.</w:t>
      </w:r>
      <w:r w:rsidRPr="003747D4">
        <w:rPr>
          <w:rFonts w:ascii="Calibri" w:hAnsi="Calibri" w:cs="Calibri"/>
          <w:color w:val="auto"/>
        </w:rPr>
        <w:t xml:space="preserve"> </w:t>
      </w:r>
    </w:p>
    <w:p w14:paraId="2A161A7B" w14:textId="77777777" w:rsidR="001E559F" w:rsidRPr="003747D4" w:rsidRDefault="001E559F" w:rsidP="001E559F">
      <w:pPr>
        <w:pStyle w:val="Corp"/>
        <w:spacing w:line="276" w:lineRule="auto"/>
        <w:ind w:firstLine="720"/>
        <w:jc w:val="both"/>
        <w:rPr>
          <w:rFonts w:ascii="Calibri" w:hAnsi="Calibri" w:cs="Calibri"/>
          <w:color w:val="auto"/>
        </w:rPr>
      </w:pPr>
      <w:commentRangeStart w:id="21"/>
      <w:r w:rsidRPr="003747D4">
        <w:rPr>
          <w:rFonts w:ascii="Calibri" w:hAnsi="Calibri" w:cs="Calibri"/>
          <w:color w:val="auto"/>
        </w:rPr>
        <w:t>(1) Avocatul are obligația de a transmite un raport de tranzacții suspecte numai în măsura în care nu se aduce atingere secretului profesional prevăzut de Legea nr. 51/1995 pentru organizarea și exercitarea profesiei de avocat, republicată și de Statutul profesiei de avocat.</w:t>
      </w:r>
      <w:commentRangeEnd w:id="21"/>
      <w:r w:rsidRPr="003747D4">
        <w:rPr>
          <w:rStyle w:val="CommentReference"/>
          <w:rFonts w:ascii="Calibri" w:hAnsi="Calibri" w:cs="Calibri"/>
        </w:rPr>
        <w:commentReference w:id="21"/>
      </w:r>
    </w:p>
    <w:p w14:paraId="2D029C1A" w14:textId="77777777" w:rsidR="001E559F" w:rsidRPr="003747D4" w:rsidRDefault="001E559F" w:rsidP="001E559F">
      <w:pPr>
        <w:pStyle w:val="Corp"/>
        <w:spacing w:line="276" w:lineRule="auto"/>
        <w:ind w:firstLine="720"/>
        <w:jc w:val="both"/>
        <w:rPr>
          <w:rFonts w:ascii="Calibri" w:hAnsi="Calibri" w:cs="Calibri"/>
          <w:color w:val="auto"/>
        </w:rPr>
      </w:pPr>
      <w:commentRangeStart w:id="22"/>
      <w:r w:rsidRPr="003747D4">
        <w:rPr>
          <w:rFonts w:ascii="Calibri" w:hAnsi="Calibri" w:cs="Calibri"/>
          <w:color w:val="auto"/>
        </w:rPr>
        <w:t>(2) Avocatul are obligația de a transmite un raport de tranzacție care nu prezintă indicatori de suspiciune numai în măsura în care nu se aduce atingere secretului profesional prevăzut de Legea nr. 51/1995 pentru organizarea și exercitarea profesiei de avocat, republicată și de Statutul profesiei de avocat.</w:t>
      </w:r>
      <w:commentRangeEnd w:id="22"/>
      <w:r w:rsidRPr="003747D4">
        <w:rPr>
          <w:rStyle w:val="CommentReference"/>
          <w:rFonts w:ascii="Calibri" w:hAnsi="Calibri" w:cs="Calibri"/>
        </w:rPr>
        <w:commentReference w:id="22"/>
      </w:r>
    </w:p>
    <w:p w14:paraId="582B6CDB" w14:textId="77777777" w:rsidR="001E559F" w:rsidRPr="003747D4" w:rsidRDefault="001E559F" w:rsidP="001E559F">
      <w:pPr>
        <w:pStyle w:val="Corp"/>
        <w:spacing w:line="276" w:lineRule="auto"/>
        <w:ind w:firstLine="720"/>
        <w:jc w:val="both"/>
        <w:rPr>
          <w:rFonts w:ascii="Calibri" w:hAnsi="Calibri" w:cs="Calibri"/>
          <w:color w:val="auto"/>
        </w:rPr>
      </w:pPr>
      <w:commentRangeStart w:id="23"/>
      <w:r w:rsidRPr="003747D4">
        <w:rPr>
          <w:rFonts w:ascii="Calibri" w:hAnsi="Calibri" w:cs="Calibri"/>
          <w:color w:val="auto"/>
        </w:rPr>
        <w:t>(3) Avocatul care transmite către O.N.P.C.S.B. un raport de tranzacții suspecte are obligația de a notifica baroul din care face parte și U.N.B.R. cu privire la transmiterea raportului de tranzacții suspecte.</w:t>
      </w:r>
      <w:commentRangeEnd w:id="23"/>
      <w:r w:rsidRPr="003747D4">
        <w:rPr>
          <w:rStyle w:val="CommentReference"/>
          <w:rFonts w:ascii="Calibri" w:hAnsi="Calibri" w:cs="Calibri"/>
        </w:rPr>
        <w:commentReference w:id="23"/>
      </w:r>
    </w:p>
    <w:p w14:paraId="14FBFE7A" w14:textId="77777777" w:rsidR="001E559F" w:rsidRPr="003747D4" w:rsidRDefault="001E559F" w:rsidP="001E559F">
      <w:pPr>
        <w:pStyle w:val="Corp"/>
        <w:spacing w:line="276" w:lineRule="auto"/>
        <w:ind w:firstLine="720"/>
        <w:jc w:val="both"/>
        <w:rPr>
          <w:rFonts w:ascii="Calibri" w:hAnsi="Calibri" w:cs="Calibri"/>
          <w:color w:val="auto"/>
        </w:rPr>
      </w:pPr>
      <w:commentRangeStart w:id="24"/>
      <w:r w:rsidRPr="003747D4">
        <w:rPr>
          <w:rFonts w:ascii="Calibri" w:hAnsi="Calibri" w:cs="Calibri"/>
          <w:color w:val="auto"/>
        </w:rPr>
        <w:t>(4) Avocatul are obligația de a comunica O.N.P.C.S.B. datele și informațiile solicitate numai în măsura în care nu se aduce atingere secretului profesional prevăzut de Legea nr. 51/1995 pentru organizarea și exercitarea profesiei de avocat, republicată și de Statutul profesiei de avocat.</w:t>
      </w:r>
      <w:commentRangeEnd w:id="24"/>
      <w:r w:rsidRPr="003747D4">
        <w:rPr>
          <w:rStyle w:val="CommentReference"/>
          <w:rFonts w:ascii="Calibri" w:hAnsi="Calibri" w:cs="Calibri"/>
        </w:rPr>
        <w:commentReference w:id="24"/>
      </w:r>
    </w:p>
    <w:p w14:paraId="225E5DE5" w14:textId="77777777" w:rsidR="001E559F" w:rsidRPr="003747D4" w:rsidRDefault="001E559F" w:rsidP="001E559F">
      <w:pPr>
        <w:pStyle w:val="Corp"/>
        <w:spacing w:line="276" w:lineRule="auto"/>
        <w:ind w:firstLine="720"/>
        <w:jc w:val="both"/>
        <w:rPr>
          <w:rFonts w:ascii="Calibri" w:hAnsi="Calibri" w:cs="Calibri"/>
          <w:color w:val="auto"/>
        </w:rPr>
      </w:pPr>
    </w:p>
    <w:p w14:paraId="1944F049" w14:textId="77777777" w:rsidR="001E559F" w:rsidRPr="003747D4" w:rsidRDefault="001E559F" w:rsidP="001E559F">
      <w:pPr>
        <w:pStyle w:val="Corp"/>
        <w:spacing w:line="276" w:lineRule="auto"/>
        <w:ind w:firstLine="720"/>
        <w:jc w:val="both"/>
        <w:rPr>
          <w:rFonts w:ascii="Calibri" w:hAnsi="Calibri" w:cs="Calibri"/>
          <w:b/>
          <w:bCs/>
          <w:color w:val="auto"/>
        </w:rPr>
      </w:pPr>
      <w:r w:rsidRPr="003747D4">
        <w:rPr>
          <w:rFonts w:ascii="Calibri" w:hAnsi="Calibri" w:cs="Calibri"/>
          <w:b/>
          <w:bCs/>
          <w:color w:val="auto"/>
        </w:rPr>
        <w:lastRenderedPageBreak/>
        <w:t>Capitolul. IV. Proceduri de control realizate de către O.N.P.C.S.B.</w:t>
      </w:r>
    </w:p>
    <w:p w14:paraId="04C2EF0C"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b/>
          <w:bCs/>
          <w:color w:val="auto"/>
        </w:rPr>
        <w:t>Art. 12. Respectarea secretului profesional.</w:t>
      </w:r>
    </w:p>
    <w:p w14:paraId="4559609F" w14:textId="77777777" w:rsidR="001E559F" w:rsidRPr="003747D4" w:rsidRDefault="001E559F" w:rsidP="001E559F">
      <w:pPr>
        <w:pStyle w:val="Corp"/>
        <w:spacing w:line="276" w:lineRule="auto"/>
        <w:ind w:firstLine="720"/>
        <w:jc w:val="both"/>
        <w:rPr>
          <w:rFonts w:ascii="Calibri" w:hAnsi="Calibri" w:cs="Calibri"/>
          <w:color w:val="auto"/>
        </w:rPr>
      </w:pPr>
      <w:commentRangeStart w:id="25"/>
      <w:r w:rsidRPr="003747D4">
        <w:rPr>
          <w:rFonts w:ascii="Calibri" w:hAnsi="Calibri" w:cs="Calibri"/>
          <w:color w:val="auto"/>
        </w:rPr>
        <w:t>(1) Procedura de control a avocatului cu privire la îndeplinirea obligațiilor ce revin acestuia prin Lege se va realiza de către O.N.P.C.S.B. în baza datelor și a informațiilor puse la dispoziție de către avocat care pot fi anonimizate, în tot sau în parte, în scopul respectării secretului profesional prevăzut de Legea nr. 51/1995 pentru organizarea și exercitarea profesiei de avocat, republicată și de Statutul profesiei de avocat.</w:t>
      </w:r>
      <w:commentRangeEnd w:id="25"/>
      <w:r w:rsidRPr="003747D4">
        <w:rPr>
          <w:rStyle w:val="CommentReference"/>
          <w:rFonts w:ascii="Calibri" w:hAnsi="Calibri" w:cs="Calibri"/>
        </w:rPr>
        <w:commentReference w:id="25"/>
      </w:r>
    </w:p>
    <w:p w14:paraId="10DC959F" w14:textId="77777777" w:rsidR="001E559F" w:rsidRPr="003747D4" w:rsidRDefault="001E559F" w:rsidP="001E559F">
      <w:pPr>
        <w:pStyle w:val="Corp"/>
        <w:spacing w:line="276" w:lineRule="auto"/>
        <w:ind w:firstLine="720"/>
        <w:jc w:val="both"/>
        <w:rPr>
          <w:rFonts w:ascii="Calibri" w:hAnsi="Calibri" w:cs="Calibri"/>
          <w:color w:val="auto"/>
        </w:rPr>
      </w:pPr>
      <w:commentRangeStart w:id="26"/>
      <w:r w:rsidRPr="003747D4">
        <w:rPr>
          <w:rFonts w:ascii="Calibri" w:hAnsi="Calibri" w:cs="Calibri"/>
          <w:color w:val="auto"/>
        </w:rPr>
        <w:t>(2) Cu ocazia procedurilor de control realizate de către  O.N.P.C.S.B. la sediul profesional, sediul secundar sau la biroul de lucru a formei de exercitare a profesiei din care face parte avocatul, acesta din urmă are dreptul de a fi asistat la cerere de către un consilier al baroului desemnat în mod expres de către decanul baroului din care face parte avocatul sau de către decanul pe raza căruia este înființat sediul secundar.</w:t>
      </w:r>
      <w:commentRangeEnd w:id="26"/>
      <w:r w:rsidRPr="003747D4">
        <w:rPr>
          <w:rStyle w:val="CommentReference"/>
          <w:rFonts w:ascii="Calibri" w:hAnsi="Calibri" w:cs="Calibri"/>
        </w:rPr>
        <w:commentReference w:id="26"/>
      </w:r>
    </w:p>
    <w:p w14:paraId="7964B0C7" w14:textId="77777777" w:rsidR="001E559F" w:rsidRPr="003747D4" w:rsidRDefault="001E559F" w:rsidP="001E559F">
      <w:pPr>
        <w:pStyle w:val="Corp"/>
        <w:spacing w:line="276" w:lineRule="auto"/>
        <w:ind w:firstLine="720"/>
        <w:jc w:val="both"/>
        <w:rPr>
          <w:rFonts w:ascii="Calibri" w:hAnsi="Calibri" w:cs="Calibri"/>
          <w:color w:val="auto"/>
          <w:shd w:val="clear" w:color="auto" w:fill="FFFFFF"/>
        </w:rPr>
      </w:pPr>
      <w:r w:rsidRPr="003747D4">
        <w:rPr>
          <w:rFonts w:ascii="Calibri" w:hAnsi="Calibri" w:cs="Calibri"/>
          <w:color w:val="auto"/>
        </w:rPr>
        <w:t xml:space="preserve">(3) </w:t>
      </w:r>
      <w:r w:rsidRPr="003747D4">
        <w:rPr>
          <w:rFonts w:ascii="Calibri" w:hAnsi="Calibri" w:cs="Calibri"/>
          <w:shd w:val="clear" w:color="auto" w:fill="FFFFFF"/>
        </w:rPr>
        <w:t>Secretul profesional</w:t>
      </w:r>
      <w:r w:rsidRPr="003747D4">
        <w:rPr>
          <w:rStyle w:val="Strong"/>
          <w:rFonts w:ascii="Calibri" w:hAnsi="Calibri" w:cs="Calibri"/>
          <w:shd w:val="clear" w:color="auto" w:fill="FFFFFF"/>
        </w:rPr>
        <w:t xml:space="preserve"> al avocatului </w:t>
      </w:r>
      <w:r w:rsidRPr="003747D4">
        <w:rPr>
          <w:rFonts w:ascii="Calibri" w:hAnsi="Calibri" w:cs="Calibri"/>
          <w:shd w:val="clear" w:color="auto" w:fill="FFFFFF"/>
        </w:rPr>
        <w:t>este aplicabil și în situația anterioară încheierii unui contract de asistență juridică, mai exact acesta subzistă începând cu momentul în care clientul intră în contact cu un avocat pentru a beneficia de servicii juridice, chiar dacă acestea nu ajung să fie prestate sau realizate efectiv.</w:t>
      </w:r>
    </w:p>
    <w:p w14:paraId="26DEAF17" w14:textId="77777777" w:rsidR="001E559F" w:rsidRPr="003747D4" w:rsidRDefault="001E559F" w:rsidP="001E559F">
      <w:pPr>
        <w:pStyle w:val="Corp"/>
        <w:spacing w:line="276" w:lineRule="auto"/>
        <w:ind w:firstLine="720"/>
        <w:jc w:val="both"/>
        <w:rPr>
          <w:rFonts w:ascii="Calibri" w:hAnsi="Calibri" w:cs="Calibri"/>
          <w:color w:val="auto"/>
        </w:rPr>
      </w:pPr>
      <w:commentRangeStart w:id="27"/>
      <w:r w:rsidRPr="003747D4">
        <w:rPr>
          <w:rFonts w:ascii="Calibri" w:hAnsi="Calibri" w:cs="Calibri"/>
          <w:shd w:val="clear" w:color="auto" w:fill="FFFFFF"/>
        </w:rPr>
        <w:t xml:space="preserve">(4) Avocatul va îndeplini obligațiile prevăzute de Lege și prezentele norme sectoriale, </w:t>
      </w:r>
      <w:r w:rsidRPr="003747D4">
        <w:rPr>
          <w:rFonts w:ascii="Calibri" w:hAnsi="Calibri" w:cs="Calibri"/>
          <w:color w:val="auto"/>
        </w:rPr>
        <w:t xml:space="preserve">Ordinul Președintelui O.N.P.C.S.B. nr. 37/2021, O.U.G. nr. 202/2008 aprobată prin Legea nr. 217/2009 privind punerea în aplicare a sancțiunilor internaționale și de H.G. nr. 603/2011 </w:t>
      </w:r>
      <w:r w:rsidRPr="003747D4">
        <w:rPr>
          <w:rFonts w:ascii="Calibri" w:hAnsi="Calibri" w:cs="Calibri"/>
          <w:shd w:val="clear" w:color="auto" w:fill="FFFFFF"/>
        </w:rPr>
        <w:t>cu respectarea dispozițiilor prevăzute de Legea nr. 51/1995 pentru organizarea și exercitarea profesiei de avocat, republicată și Statutul profesiei de avocat privind păstrarea secretului profesional.</w:t>
      </w:r>
      <w:commentRangeEnd w:id="27"/>
      <w:r w:rsidRPr="003747D4">
        <w:rPr>
          <w:rStyle w:val="CommentReference"/>
          <w:rFonts w:ascii="Calibri" w:hAnsi="Calibri" w:cs="Calibri"/>
        </w:rPr>
        <w:commentReference w:id="27"/>
      </w:r>
    </w:p>
    <w:p w14:paraId="47EFD54E" w14:textId="77777777" w:rsidR="001E559F" w:rsidRPr="003747D4" w:rsidRDefault="001E559F" w:rsidP="001E559F">
      <w:pPr>
        <w:pStyle w:val="Corp"/>
        <w:spacing w:line="276" w:lineRule="auto"/>
        <w:jc w:val="both"/>
        <w:rPr>
          <w:rFonts w:ascii="Calibri" w:hAnsi="Calibri" w:cs="Calibri"/>
          <w:b/>
          <w:bCs/>
          <w:color w:val="auto"/>
        </w:rPr>
      </w:pPr>
    </w:p>
    <w:p w14:paraId="56D6E3E8" w14:textId="77777777" w:rsidR="001E559F" w:rsidRPr="003747D4" w:rsidRDefault="001E559F" w:rsidP="001E559F">
      <w:pPr>
        <w:pStyle w:val="Corp"/>
        <w:spacing w:line="276" w:lineRule="auto"/>
        <w:jc w:val="both"/>
        <w:rPr>
          <w:rFonts w:ascii="Calibri" w:hAnsi="Calibri" w:cs="Calibri"/>
          <w:b/>
          <w:bCs/>
          <w:color w:val="auto"/>
        </w:rPr>
      </w:pPr>
      <w:r w:rsidRPr="003747D4">
        <w:rPr>
          <w:rFonts w:ascii="Calibri" w:hAnsi="Calibri" w:cs="Calibri"/>
          <w:b/>
          <w:bCs/>
          <w:color w:val="auto"/>
        </w:rPr>
        <w:tab/>
      </w:r>
      <w:r w:rsidRPr="003747D4">
        <w:rPr>
          <w:rFonts w:ascii="Calibri" w:hAnsi="Calibri" w:cs="Calibri"/>
          <w:color w:val="auto"/>
        </w:rPr>
        <w:t xml:space="preserve"> </w:t>
      </w:r>
      <w:r w:rsidRPr="003747D4">
        <w:rPr>
          <w:rFonts w:ascii="Calibri" w:hAnsi="Calibri" w:cs="Calibri"/>
          <w:b/>
          <w:bCs/>
          <w:color w:val="auto"/>
        </w:rPr>
        <w:t>Capitolul V. Dispoziții finale.</w:t>
      </w:r>
    </w:p>
    <w:p w14:paraId="0CF21B91" w14:textId="77777777" w:rsidR="001E559F" w:rsidRPr="003747D4" w:rsidRDefault="001E559F" w:rsidP="001E559F">
      <w:pPr>
        <w:pStyle w:val="Corp"/>
        <w:spacing w:line="276" w:lineRule="auto"/>
        <w:ind w:firstLine="720"/>
        <w:jc w:val="both"/>
        <w:rPr>
          <w:rFonts w:ascii="Calibri" w:hAnsi="Calibri" w:cs="Calibri"/>
          <w:color w:val="auto"/>
        </w:rPr>
      </w:pPr>
      <w:r w:rsidRPr="003747D4">
        <w:rPr>
          <w:rFonts w:ascii="Calibri" w:hAnsi="Calibri" w:cs="Calibri"/>
          <w:b/>
          <w:bCs/>
          <w:color w:val="auto"/>
        </w:rPr>
        <w:t xml:space="preserve">Art. 13. </w:t>
      </w:r>
      <w:r w:rsidRPr="003747D4">
        <w:rPr>
          <w:rFonts w:ascii="Calibri" w:hAnsi="Calibri" w:cs="Calibri"/>
          <w:color w:val="auto"/>
        </w:rPr>
        <w:t>Dispozițiile Legii nr 129/2019 și ale normelor de punere în aplicare aprobate prin Ordin al Președintelui O.N.P.C.S.B. se vor aplica cu respectarea Legii nr. 51/1995 pentru organizarea și exercitarea profesiei de avocat, republicată, a Statutului profesiei de avocat și normelor sectoriale.</w:t>
      </w:r>
    </w:p>
    <w:p w14:paraId="4973DCD9" w14:textId="7A1965AE" w:rsidR="008A3E92" w:rsidRPr="003747D4" w:rsidRDefault="001E559F" w:rsidP="00073328">
      <w:pPr>
        <w:pStyle w:val="Corp"/>
        <w:spacing w:line="276" w:lineRule="auto"/>
        <w:ind w:firstLine="720"/>
        <w:jc w:val="both"/>
        <w:rPr>
          <w:rFonts w:ascii="Calibri" w:hAnsi="Calibri" w:cs="Calibri"/>
          <w:b/>
        </w:rPr>
      </w:pPr>
      <w:r w:rsidRPr="003747D4">
        <w:rPr>
          <w:rFonts w:ascii="Calibri" w:hAnsi="Calibri" w:cs="Calibri"/>
          <w:b/>
          <w:bCs/>
          <w:color w:val="auto"/>
        </w:rPr>
        <w:t xml:space="preserve">Art. 14. </w:t>
      </w:r>
      <w:r w:rsidRPr="003747D4">
        <w:rPr>
          <w:rFonts w:ascii="Calibri" w:hAnsi="Calibri" w:cs="Calibri"/>
          <w:color w:val="auto"/>
        </w:rPr>
        <w:t xml:space="preserve">Normele sectoriale intră în vigoare începând cu data de </w:t>
      </w:r>
      <w:r w:rsidR="00A67D40" w:rsidRPr="003747D4">
        <w:rPr>
          <w:rFonts w:ascii="Calibri" w:hAnsi="Calibri" w:cs="Calibri"/>
          <w:color w:val="auto"/>
        </w:rPr>
        <w:t>01 octombrie</w:t>
      </w:r>
      <w:r w:rsidRPr="003747D4">
        <w:rPr>
          <w:rFonts w:ascii="Calibri" w:hAnsi="Calibri" w:cs="Calibri"/>
          <w:color w:val="auto"/>
        </w:rPr>
        <w:t xml:space="preserve"> 2024.</w:t>
      </w:r>
      <w:bookmarkEnd w:id="0"/>
    </w:p>
    <w:sectPr w:rsidR="008A3E92" w:rsidRPr="003747D4" w:rsidSect="000A5F37">
      <w:footerReference w:type="even" r:id="rId11"/>
      <w:footerReference w:type="default" r:id="rId12"/>
      <w:pgSz w:w="11909" w:h="16834" w:code="9"/>
      <w:pgMar w:top="1134" w:right="1136" w:bottom="360" w:left="1560" w:header="706" w:footer="40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UNBR" w:date="2023-11-16T12:41:00Z" w:initials="UNBR">
    <w:p w14:paraId="224797D0" w14:textId="77777777" w:rsidR="001E559F" w:rsidRDefault="001E559F" w:rsidP="001E559F">
      <w:r>
        <w:rPr>
          <w:rStyle w:val="CommentReference"/>
        </w:rPr>
        <w:annotationRef/>
      </w:r>
      <w:r>
        <w:rPr>
          <w:sz w:val="20"/>
          <w:szCs w:val="20"/>
        </w:rPr>
        <w:t>art. 5 alin. (1) lit. f) din Legea nr. 129/2019.</w:t>
      </w:r>
    </w:p>
  </w:comment>
  <w:comment w:id="2" w:author="UNBR" w:date="2023-11-16T12:42:00Z" w:initials="UNBR">
    <w:p w14:paraId="2F97CEA5" w14:textId="77777777" w:rsidR="001E559F" w:rsidRDefault="001E559F" w:rsidP="001E559F">
      <w:r>
        <w:rPr>
          <w:rStyle w:val="CommentReference"/>
        </w:rPr>
        <w:annotationRef/>
      </w:r>
      <w:r>
        <w:rPr>
          <w:sz w:val="20"/>
          <w:szCs w:val="20"/>
        </w:rPr>
        <w:t>art. 5 alin. (1) lit. f) din Legea nr. 129/2019.</w:t>
      </w:r>
    </w:p>
  </w:comment>
  <w:comment w:id="3" w:author="UNBR" w:date="2023-11-16T12:42:00Z" w:initials="UNBR">
    <w:p w14:paraId="6DDF5FBD" w14:textId="77777777" w:rsidR="001E559F" w:rsidRDefault="001E559F" w:rsidP="001E559F">
      <w:r>
        <w:rPr>
          <w:rStyle w:val="CommentReference"/>
        </w:rPr>
        <w:annotationRef/>
      </w:r>
      <w:r>
        <w:rPr>
          <w:sz w:val="20"/>
          <w:szCs w:val="20"/>
        </w:rPr>
        <w:t>art. 5 alin. (1) lit. f) coroborat cu art. 9 alin. (3) din Legea nr. 129/2019.</w:t>
      </w:r>
    </w:p>
  </w:comment>
  <w:comment w:id="4" w:author="UNBR" w:date="2024-06-06T22:05:00Z" w:initials="UNBR">
    <w:p w14:paraId="2D68C0A9" w14:textId="77777777" w:rsidR="001E559F" w:rsidRDefault="001E559F" w:rsidP="001E559F">
      <w:r>
        <w:rPr>
          <w:rStyle w:val="CommentReference"/>
        </w:rPr>
        <w:annotationRef/>
      </w:r>
      <w:r>
        <w:rPr>
          <w:color w:val="000000"/>
          <w:sz w:val="20"/>
          <w:szCs w:val="20"/>
        </w:rPr>
        <w:t>art. 24 alin. 10 din Legea nr. 129/2019.</w:t>
      </w:r>
    </w:p>
  </w:comment>
  <w:comment w:id="5" w:author="UNBR" w:date="2023-11-16T12:43:00Z" w:initials="UNBR">
    <w:p w14:paraId="26B3D58F" w14:textId="77777777" w:rsidR="001E559F" w:rsidRDefault="001E559F" w:rsidP="001E559F">
      <w:r>
        <w:rPr>
          <w:rStyle w:val="CommentReference"/>
        </w:rPr>
        <w:annotationRef/>
      </w:r>
      <w:r>
        <w:rPr>
          <w:sz w:val="20"/>
          <w:szCs w:val="20"/>
        </w:rPr>
        <w:t>Raportul O.N.P.C.S.B. privind evaluarea națională a riscurilor de spălare a banilor și de finanțare a terorismului.</w:t>
      </w:r>
    </w:p>
  </w:comment>
  <w:comment w:id="6" w:author="UNBR" w:date="2023-11-16T12:44:00Z" w:initials="UNBR">
    <w:p w14:paraId="5C149156" w14:textId="77777777" w:rsidR="001E559F" w:rsidRDefault="001E559F" w:rsidP="001E559F">
      <w:r>
        <w:rPr>
          <w:rStyle w:val="CommentReference"/>
        </w:rPr>
        <w:annotationRef/>
      </w:r>
      <w:r>
        <w:rPr>
          <w:sz w:val="20"/>
          <w:szCs w:val="20"/>
        </w:rPr>
        <w:t>art. 11 alin. (6) și (7), art. 16 alin. (2), art. 17 alin. (14) și art. 25 din Legea nr. 129/2019 și art. 12-14 din Ordinul Președintelui O.N.P.C.S.B. nr. 37/2021.</w:t>
      </w:r>
    </w:p>
  </w:comment>
  <w:comment w:id="7" w:author="UNBR" w:date="2023-11-16T12:44:00Z" w:initials="UNBR">
    <w:p w14:paraId="1C186789" w14:textId="77777777" w:rsidR="001E559F" w:rsidRDefault="001E559F" w:rsidP="001E559F">
      <w:r>
        <w:rPr>
          <w:rStyle w:val="CommentReference"/>
        </w:rPr>
        <w:annotationRef/>
      </w:r>
      <w:r>
        <w:rPr>
          <w:sz w:val="20"/>
          <w:szCs w:val="20"/>
        </w:rPr>
        <w:t>art. 10, art. 11 alin. (1) – (5) și (8) și art. 12,13, 14, 15, 16, 17 și 17 indice 1 din Legea nr. 129/2019 și art. 15, 16, 17 si 18  din Ordinul Președintelui O.N.P.C.S.B. nr. 37/2021.</w:t>
      </w:r>
    </w:p>
  </w:comment>
  <w:comment w:id="8" w:author="UNBR" w:date="2023-11-16T12:44:00Z" w:initials="UNBR">
    <w:p w14:paraId="6F48BDB2" w14:textId="77777777" w:rsidR="001E559F" w:rsidRDefault="001E559F" w:rsidP="001E559F">
      <w:r>
        <w:rPr>
          <w:rStyle w:val="CommentReference"/>
        </w:rPr>
        <w:annotationRef/>
      </w:r>
      <w:r>
        <w:rPr>
          <w:sz w:val="20"/>
          <w:szCs w:val="20"/>
        </w:rPr>
        <w:t>art. 17 și 17 indice 1 din Legea nr. 129/2019 și art. 15, 16, 17 si 18 din Ordinul Președintelui O.N.P.C.S.B. nr. 37/2021.</w:t>
      </w:r>
    </w:p>
  </w:comment>
  <w:comment w:id="9" w:author="UNBR" w:date="2023-11-16T12:45:00Z" w:initials="UNBR">
    <w:p w14:paraId="54A24814" w14:textId="77777777" w:rsidR="001E559F" w:rsidRDefault="001E559F" w:rsidP="001E559F">
      <w:r>
        <w:rPr>
          <w:rStyle w:val="CommentReference"/>
        </w:rPr>
        <w:annotationRef/>
      </w:r>
      <w:r>
        <w:rPr>
          <w:sz w:val="20"/>
          <w:szCs w:val="20"/>
        </w:rPr>
        <w:t>art. 21 - 22 din Legea nr. 129/2019 și art. 22 din Ordinul Președintelui O.N.P.C.S.B. nr. 37/2021.</w:t>
      </w:r>
    </w:p>
  </w:comment>
  <w:comment w:id="10" w:author="UNBR" w:date="2023-11-16T12:45:00Z" w:initials="UNBR">
    <w:p w14:paraId="70B40F30" w14:textId="77777777" w:rsidR="001E559F" w:rsidRDefault="001E559F" w:rsidP="001E559F">
      <w:r>
        <w:rPr>
          <w:rStyle w:val="CommentReference"/>
        </w:rPr>
        <w:annotationRef/>
      </w:r>
      <w:r>
        <w:rPr>
          <w:sz w:val="20"/>
          <w:szCs w:val="20"/>
        </w:rPr>
        <w:t>art. 11 alin. (1) lit. d) și art. 14 din Legea nr. 129/2019.</w:t>
      </w:r>
    </w:p>
  </w:comment>
  <w:comment w:id="11" w:author="UNBR" w:date="2023-11-16T12:45:00Z" w:initials="UNBR">
    <w:p w14:paraId="46B7A22B" w14:textId="77777777" w:rsidR="001E559F" w:rsidRDefault="001E559F" w:rsidP="001E559F">
      <w:r>
        <w:rPr>
          <w:rStyle w:val="CommentReference"/>
        </w:rPr>
        <w:annotationRef/>
      </w:r>
      <w:r>
        <w:rPr>
          <w:sz w:val="20"/>
          <w:szCs w:val="20"/>
        </w:rPr>
        <w:t>art. 14 din Legea nr. 129/2019.</w:t>
      </w:r>
    </w:p>
  </w:comment>
  <w:comment w:id="12" w:author="UNBR" w:date="2023-11-16T12:46:00Z" w:initials="UNBR">
    <w:p w14:paraId="0DD51DAC" w14:textId="77777777" w:rsidR="001E559F" w:rsidRDefault="001E559F" w:rsidP="001E559F">
      <w:r>
        <w:rPr>
          <w:rStyle w:val="CommentReference"/>
        </w:rPr>
        <w:annotationRef/>
      </w:r>
      <w:r>
        <w:rPr>
          <w:sz w:val="20"/>
          <w:szCs w:val="20"/>
        </w:rPr>
        <w:t>Raportul O.N.P.C.S.B. privind evaluarea națională a riscurilor de spălare a banilor și de finanțare a terorismului.</w:t>
      </w:r>
    </w:p>
  </w:comment>
  <w:comment w:id="13" w:author="UNBR" w:date="2023-11-16T12:46:00Z" w:initials="UNBR">
    <w:p w14:paraId="43DFFEFD" w14:textId="77777777" w:rsidR="001E559F" w:rsidRDefault="001E559F" w:rsidP="001E559F">
      <w:pPr>
        <w:rPr>
          <w:sz w:val="20"/>
          <w:szCs w:val="20"/>
        </w:rPr>
      </w:pPr>
      <w:r>
        <w:rPr>
          <w:rStyle w:val="CommentReference"/>
        </w:rPr>
        <w:annotationRef/>
      </w:r>
      <w:r>
        <w:rPr>
          <w:sz w:val="20"/>
          <w:szCs w:val="20"/>
        </w:rPr>
        <w:t>Art. 17 alin. (4) și (5) din Legea nr. 129/2019.</w:t>
      </w:r>
    </w:p>
    <w:p w14:paraId="03460FE6" w14:textId="77777777" w:rsidR="001E559F" w:rsidRDefault="001E559F" w:rsidP="001E559F">
      <w:pPr>
        <w:rPr>
          <w:sz w:val="20"/>
          <w:szCs w:val="20"/>
        </w:rPr>
      </w:pPr>
    </w:p>
    <w:p w14:paraId="31DC91D1" w14:textId="77777777" w:rsidR="001E559F" w:rsidRDefault="001E559F" w:rsidP="001E559F">
      <w:r>
        <w:rPr>
          <w:sz w:val="20"/>
          <w:szCs w:val="20"/>
        </w:rPr>
        <w:t>https://www.unbr.ro/publicam-liste-informative-in-vederea-prevenirii-si-combaterii-finantarii-terorismului/</w:t>
      </w:r>
    </w:p>
  </w:comment>
  <w:comment w:id="14" w:author="UNBR" w:date="2023-11-16T12:49:00Z" w:initials="UNBR">
    <w:p w14:paraId="75D2DFA8" w14:textId="77777777" w:rsidR="001E559F" w:rsidRDefault="001E559F" w:rsidP="001E559F">
      <w:r>
        <w:rPr>
          <w:rStyle w:val="CommentReference"/>
        </w:rPr>
        <w:annotationRef/>
      </w:r>
      <w:r>
        <w:rPr>
          <w:color w:val="000000"/>
          <w:sz w:val="20"/>
          <w:szCs w:val="20"/>
        </w:rPr>
        <w:t>O.U.G. nr. 202/2008, H.G. nr. 603/2011, art. 17 alin. (4) și (5) din Legea nr. 129/2019.</w:t>
      </w:r>
    </w:p>
    <w:p w14:paraId="35DB33FB" w14:textId="77777777" w:rsidR="001E559F" w:rsidRDefault="001E559F" w:rsidP="001E559F"/>
    <w:p w14:paraId="3565F914" w14:textId="77777777" w:rsidR="001E559F" w:rsidRDefault="001E559F" w:rsidP="001E559F">
      <w:r>
        <w:rPr>
          <w:color w:val="000000"/>
          <w:sz w:val="20"/>
          <w:szCs w:val="20"/>
        </w:rPr>
        <w:t>https://www.unbr.ro/publicam-liste-informative-in-vederea-prevenirii-si-combaterii-finantarii-terorismului/</w:t>
      </w:r>
    </w:p>
  </w:comment>
  <w:comment w:id="15" w:author="UNBR" w:date="2023-11-16T12:50:00Z" w:initials="UNBR">
    <w:p w14:paraId="24114664" w14:textId="77777777" w:rsidR="001E559F" w:rsidRDefault="001E559F" w:rsidP="001E559F">
      <w:r>
        <w:rPr>
          <w:rStyle w:val="CommentReference"/>
        </w:rPr>
        <w:annotationRef/>
      </w:r>
      <w:r>
        <w:rPr>
          <w:sz w:val="20"/>
          <w:szCs w:val="20"/>
        </w:rPr>
        <w:t>art. 11 alin. (9) coroborat cu art. 33 alin. (5) din Legea nr. 129/2019.</w:t>
      </w:r>
    </w:p>
  </w:comment>
  <w:comment w:id="16" w:author="UNBR" w:date="2023-11-16T12:50:00Z" w:initials="UNBR">
    <w:p w14:paraId="45C620CD" w14:textId="77777777" w:rsidR="001E559F" w:rsidRDefault="001E559F" w:rsidP="001E559F">
      <w:r>
        <w:rPr>
          <w:rStyle w:val="CommentReference"/>
        </w:rPr>
        <w:annotationRef/>
      </w:r>
      <w:r>
        <w:rPr>
          <w:sz w:val="20"/>
          <w:szCs w:val="20"/>
        </w:rPr>
        <w:t>art. 23 alin. (1) și (4) din Legea nr. 129/2019.</w:t>
      </w:r>
    </w:p>
  </w:comment>
  <w:comment w:id="17" w:author="UNBR" w:date="2023-11-16T12:51:00Z" w:initials="UNBR">
    <w:p w14:paraId="5CE53455" w14:textId="77777777" w:rsidR="001E559F" w:rsidRDefault="001E559F" w:rsidP="001E559F">
      <w:r>
        <w:rPr>
          <w:rStyle w:val="CommentReference"/>
        </w:rPr>
        <w:annotationRef/>
      </w:r>
      <w:r>
        <w:rPr>
          <w:sz w:val="20"/>
          <w:szCs w:val="20"/>
        </w:rPr>
        <w:t>art. 24 alin. (4) - (6) din Legea nr. 129/2019 coroborat cu art. 10 - 11 din Ordinul Președintelui O.N.P.C.S.B. nr. 37/2021.</w:t>
      </w:r>
    </w:p>
  </w:comment>
  <w:comment w:id="18" w:author="UNBR" w:date="2023-11-16T12:52:00Z" w:initials="UNBR">
    <w:p w14:paraId="6015953E" w14:textId="77777777" w:rsidR="001E559F" w:rsidRDefault="001E559F" w:rsidP="001E559F">
      <w:r>
        <w:rPr>
          <w:rStyle w:val="CommentReference"/>
        </w:rPr>
        <w:annotationRef/>
      </w:r>
      <w:r>
        <w:rPr>
          <w:sz w:val="20"/>
          <w:szCs w:val="20"/>
        </w:rPr>
        <w:t>art. 24 alin. (2) din Legea nr. 129/2019 coroborat cu art. 9 din Ordinul Președintelui O.N.P.C.S.B. nr. 37/2021.</w:t>
      </w:r>
    </w:p>
  </w:comment>
  <w:comment w:id="19" w:author="UNBR" w:date="2023-11-16T12:52:00Z" w:initials="UNBR">
    <w:p w14:paraId="370B48BC" w14:textId="77777777" w:rsidR="001E559F" w:rsidRDefault="001E559F" w:rsidP="001E559F">
      <w:r>
        <w:rPr>
          <w:rStyle w:val="CommentReference"/>
        </w:rPr>
        <w:annotationRef/>
      </w:r>
      <w:r>
        <w:rPr>
          <w:sz w:val="20"/>
          <w:szCs w:val="20"/>
        </w:rPr>
        <w:t>art. 9 alin. 4 din Legea nr. 129/2019 și parag. 9 din Directiva (UE) 2015/849 a Parlamentului European și a Consiliului.</w:t>
      </w:r>
    </w:p>
  </w:comment>
  <w:comment w:id="20" w:author="UNBR" w:date="2023-11-16T12:52:00Z" w:initials="UNBR">
    <w:p w14:paraId="46F22CA3" w14:textId="77777777" w:rsidR="001E559F" w:rsidRDefault="001E559F" w:rsidP="001E559F">
      <w:r>
        <w:rPr>
          <w:rStyle w:val="CommentReference"/>
        </w:rPr>
        <w:annotationRef/>
      </w:r>
      <w:r>
        <w:rPr>
          <w:sz w:val="20"/>
          <w:szCs w:val="20"/>
        </w:rPr>
        <w:t>art. 31 alin. (3) din Legea nr. 129/2019.</w:t>
      </w:r>
    </w:p>
  </w:comment>
  <w:comment w:id="21" w:author="UNBR" w:date="2023-11-16T12:52:00Z" w:initials="UNBR">
    <w:p w14:paraId="53A748F9" w14:textId="77777777" w:rsidR="001E559F" w:rsidRDefault="001E559F" w:rsidP="001E559F">
      <w:r>
        <w:rPr>
          <w:rStyle w:val="CommentReference"/>
        </w:rPr>
        <w:annotationRef/>
      </w:r>
      <w:r>
        <w:rPr>
          <w:sz w:val="20"/>
          <w:szCs w:val="20"/>
        </w:rPr>
        <w:t>art. 8 alin. (1), art. 9 alin. (1) - (5), art. 33 alin. 5 din Legea nr. 129/2019.</w:t>
      </w:r>
    </w:p>
  </w:comment>
  <w:comment w:id="22" w:author="UNBR" w:date="2024-01-25T09:44:00Z" w:initials="UNBR">
    <w:p w14:paraId="53A7578A" w14:textId="77777777" w:rsidR="001E559F" w:rsidRDefault="001E559F" w:rsidP="001E559F">
      <w:r>
        <w:rPr>
          <w:rStyle w:val="CommentReference"/>
        </w:rPr>
        <w:annotationRef/>
      </w:r>
      <w:r>
        <w:rPr>
          <w:sz w:val="20"/>
          <w:szCs w:val="20"/>
        </w:rPr>
        <w:t>art. 7 alin. (1), art. 9 alin. (1) - (5), art. 33 alin. 5 din Legea nr. 129/2019.</w:t>
      </w:r>
    </w:p>
  </w:comment>
  <w:comment w:id="23" w:author="UNBR" w:date="2023-11-16T12:53:00Z" w:initials="UNBR">
    <w:p w14:paraId="55D6363A" w14:textId="77777777" w:rsidR="001E559F" w:rsidRDefault="001E559F" w:rsidP="001E559F">
      <w:r>
        <w:rPr>
          <w:rStyle w:val="CommentReference"/>
        </w:rPr>
        <w:annotationRef/>
      </w:r>
      <w:r>
        <w:rPr>
          <w:sz w:val="20"/>
          <w:szCs w:val="20"/>
        </w:rPr>
        <w:t>art. 9 alin. (5) din Legea nr. 129/2019 și art. 21 alin. (3) din Ordinul Președintelui O.N.P.C.S.B. nr. 37/2021</w:t>
      </w:r>
    </w:p>
  </w:comment>
  <w:comment w:id="24" w:author="UNBR" w:date="2023-11-16T12:53:00Z" w:initials="UNBR">
    <w:p w14:paraId="15EB3AE5" w14:textId="77777777" w:rsidR="001E559F" w:rsidRDefault="001E559F" w:rsidP="001E559F">
      <w:r>
        <w:rPr>
          <w:rStyle w:val="CommentReference"/>
        </w:rPr>
        <w:annotationRef/>
      </w:r>
      <w:r>
        <w:rPr>
          <w:sz w:val="20"/>
          <w:szCs w:val="20"/>
        </w:rPr>
        <w:t>art. 33 alin. (1) - (5) din Legea nr. 129/2019 și art. 23 din Ordinul Președintelui O.N.P.C.S.B. nr. 37/2021.</w:t>
      </w:r>
    </w:p>
  </w:comment>
  <w:comment w:id="25" w:author="UNBR" w:date="2023-11-16T12:54:00Z" w:initials="UNBR">
    <w:p w14:paraId="7C3F2546" w14:textId="77777777" w:rsidR="001E559F" w:rsidRDefault="001E559F" w:rsidP="001E559F">
      <w:r>
        <w:rPr>
          <w:rStyle w:val="CommentReference"/>
        </w:rPr>
        <w:annotationRef/>
      </w:r>
      <w:r>
        <w:rPr>
          <w:sz w:val="20"/>
          <w:szCs w:val="20"/>
        </w:rPr>
        <w:t>art. 26 alin. (4) și (5), art. 33 alin. (1) - (5), art. 39 alin. (3) lit. m), n), o) din Legea nr. 129/2019 și art. 23 din Ordinul Președintelui O.N.P.C.S.B. nr. 37/2021.</w:t>
      </w:r>
    </w:p>
  </w:comment>
  <w:comment w:id="26" w:author="UNBR" w:date="2023-11-16T12:54:00Z" w:initials="UNBR">
    <w:p w14:paraId="1D85F694" w14:textId="77777777" w:rsidR="001E559F" w:rsidRDefault="001E559F" w:rsidP="001E559F">
      <w:r>
        <w:rPr>
          <w:rStyle w:val="CommentReference"/>
        </w:rPr>
        <w:annotationRef/>
      </w:r>
      <w:r>
        <w:rPr>
          <w:sz w:val="20"/>
          <w:szCs w:val="20"/>
        </w:rPr>
        <w:t>art. 26 alin. (1) lit. d) și e), art. 33 alin. (5) și art. 39 alin. (3) lit. i) din Legea nr. 129/2019 + art. 4 alin. (2) lit. c) din Ordinul Președintelui O.N.P.C.S.B. nr. 37/2021.</w:t>
      </w:r>
    </w:p>
  </w:comment>
  <w:comment w:id="27" w:author="UNBR" w:date="2023-11-16T12:54:00Z" w:initials="UNBR">
    <w:p w14:paraId="375140E4" w14:textId="77777777" w:rsidR="001E559F" w:rsidRDefault="001E559F" w:rsidP="001E559F">
      <w:r>
        <w:rPr>
          <w:rStyle w:val="CommentReference"/>
        </w:rPr>
        <w:annotationRef/>
      </w:r>
      <w:r>
        <w:rPr>
          <w:sz w:val="20"/>
          <w:szCs w:val="20"/>
        </w:rPr>
        <w:t>art. 33 alin. (5) din Legea nr. 129/2019.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4797D0" w15:done="0"/>
  <w15:commentEx w15:paraId="2F97CEA5" w15:done="0"/>
  <w15:commentEx w15:paraId="6DDF5FBD" w15:done="0"/>
  <w15:commentEx w15:paraId="2D68C0A9" w15:done="0"/>
  <w15:commentEx w15:paraId="26B3D58F" w15:done="0"/>
  <w15:commentEx w15:paraId="5C149156" w15:done="0"/>
  <w15:commentEx w15:paraId="1C186789" w15:done="0"/>
  <w15:commentEx w15:paraId="6F48BDB2" w15:done="0"/>
  <w15:commentEx w15:paraId="54A24814" w15:done="0"/>
  <w15:commentEx w15:paraId="70B40F30" w15:done="0"/>
  <w15:commentEx w15:paraId="46B7A22B" w15:done="0"/>
  <w15:commentEx w15:paraId="0DD51DAC" w15:done="0"/>
  <w15:commentEx w15:paraId="31DC91D1" w15:done="0"/>
  <w15:commentEx w15:paraId="3565F914" w15:done="0"/>
  <w15:commentEx w15:paraId="24114664" w15:done="0"/>
  <w15:commentEx w15:paraId="45C620CD" w15:done="0"/>
  <w15:commentEx w15:paraId="5CE53455" w15:done="0"/>
  <w15:commentEx w15:paraId="6015953E" w15:done="0"/>
  <w15:commentEx w15:paraId="370B48BC" w15:done="0"/>
  <w15:commentEx w15:paraId="46F22CA3" w15:done="0"/>
  <w15:commentEx w15:paraId="53A748F9" w15:done="0"/>
  <w15:commentEx w15:paraId="53A7578A" w15:done="0"/>
  <w15:commentEx w15:paraId="55D6363A" w15:done="0"/>
  <w15:commentEx w15:paraId="15EB3AE5" w15:done="0"/>
  <w15:commentEx w15:paraId="7C3F2546" w15:done="0"/>
  <w15:commentEx w15:paraId="1D85F694" w15:done="0"/>
  <w15:commentEx w15:paraId="375140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A696B9" w16cex:dateUtc="2024-09-02T08:44:00Z"/>
  <w16cex:commentExtensible w16cex:durableId="65D4E5D8" w16cex:dateUtc="2024-09-02T08:44:00Z"/>
  <w16cex:commentExtensible w16cex:durableId="6CA13C3F" w16cex:dateUtc="2024-09-02T08:44:00Z"/>
  <w16cex:commentExtensible w16cex:durableId="17EC10FF" w16cex:dateUtc="2024-09-02T08:44:00Z"/>
  <w16cex:commentExtensible w16cex:durableId="170EA6AE" w16cex:dateUtc="2024-09-02T08:44:00Z"/>
  <w16cex:commentExtensible w16cex:durableId="266B19B7" w16cex:dateUtc="2024-09-02T08:44:00Z"/>
  <w16cex:commentExtensible w16cex:durableId="78DFC396" w16cex:dateUtc="2024-09-02T08:44:00Z"/>
  <w16cex:commentExtensible w16cex:durableId="32503E85" w16cex:dateUtc="2024-09-02T08:44:00Z"/>
  <w16cex:commentExtensible w16cex:durableId="16A95ED7" w16cex:dateUtc="2024-09-02T08:44:00Z"/>
  <w16cex:commentExtensible w16cex:durableId="7A6929EF" w16cex:dateUtc="2024-09-02T08:44:00Z"/>
  <w16cex:commentExtensible w16cex:durableId="04EFB728" w16cex:dateUtc="2024-09-02T08:44:00Z"/>
  <w16cex:commentExtensible w16cex:durableId="3D912842" w16cex:dateUtc="2024-09-02T08:44:00Z"/>
  <w16cex:commentExtensible w16cex:durableId="21A84C01" w16cex:dateUtc="2024-09-02T08:44:00Z"/>
  <w16cex:commentExtensible w16cex:durableId="59CF6FBA" w16cex:dateUtc="2024-09-02T08:44:00Z"/>
  <w16cex:commentExtensible w16cex:durableId="7DFBFD4D" w16cex:dateUtc="2024-09-02T08:44:00Z"/>
  <w16cex:commentExtensible w16cex:durableId="2E6A8EC1" w16cex:dateUtc="2024-09-02T08:44:00Z"/>
  <w16cex:commentExtensible w16cex:durableId="763B8E57" w16cex:dateUtc="2024-09-02T08:44:00Z"/>
  <w16cex:commentExtensible w16cex:durableId="17B222CB" w16cex:dateUtc="2024-09-02T08:44:00Z"/>
  <w16cex:commentExtensible w16cex:durableId="5128ABD6" w16cex:dateUtc="2024-09-02T08:44:00Z"/>
  <w16cex:commentExtensible w16cex:durableId="7DEA5FF2" w16cex:dateUtc="2024-09-02T08:44:00Z"/>
  <w16cex:commentExtensible w16cex:durableId="4A1F0177" w16cex:dateUtc="2024-09-02T08:44:00Z"/>
  <w16cex:commentExtensible w16cex:durableId="4DE3E6B8" w16cex:dateUtc="2024-09-02T08:44:00Z"/>
  <w16cex:commentExtensible w16cex:durableId="5CA8C9B7" w16cex:dateUtc="2024-09-02T08:44:00Z"/>
  <w16cex:commentExtensible w16cex:durableId="1DC72194" w16cex:dateUtc="2024-09-02T08:44:00Z"/>
  <w16cex:commentExtensible w16cex:durableId="56B38DAA" w16cex:dateUtc="2024-09-02T08:44:00Z"/>
  <w16cex:commentExtensible w16cex:durableId="6F9EE9DD" w16cex:dateUtc="2024-09-02T08:44:00Z"/>
  <w16cex:commentExtensible w16cex:durableId="30BFE4C8" w16cex:dateUtc="2024-09-02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4797D0" w16cid:durableId="52A696B9"/>
  <w16cid:commentId w16cid:paraId="2F97CEA5" w16cid:durableId="65D4E5D8"/>
  <w16cid:commentId w16cid:paraId="6DDF5FBD" w16cid:durableId="6CA13C3F"/>
  <w16cid:commentId w16cid:paraId="2D68C0A9" w16cid:durableId="17EC10FF"/>
  <w16cid:commentId w16cid:paraId="26B3D58F" w16cid:durableId="170EA6AE"/>
  <w16cid:commentId w16cid:paraId="5C149156" w16cid:durableId="266B19B7"/>
  <w16cid:commentId w16cid:paraId="1C186789" w16cid:durableId="78DFC396"/>
  <w16cid:commentId w16cid:paraId="6F48BDB2" w16cid:durableId="32503E85"/>
  <w16cid:commentId w16cid:paraId="54A24814" w16cid:durableId="16A95ED7"/>
  <w16cid:commentId w16cid:paraId="70B40F30" w16cid:durableId="7A6929EF"/>
  <w16cid:commentId w16cid:paraId="46B7A22B" w16cid:durableId="04EFB728"/>
  <w16cid:commentId w16cid:paraId="0DD51DAC" w16cid:durableId="3D912842"/>
  <w16cid:commentId w16cid:paraId="31DC91D1" w16cid:durableId="21A84C01"/>
  <w16cid:commentId w16cid:paraId="3565F914" w16cid:durableId="59CF6FBA"/>
  <w16cid:commentId w16cid:paraId="24114664" w16cid:durableId="7DFBFD4D"/>
  <w16cid:commentId w16cid:paraId="45C620CD" w16cid:durableId="2E6A8EC1"/>
  <w16cid:commentId w16cid:paraId="5CE53455" w16cid:durableId="763B8E57"/>
  <w16cid:commentId w16cid:paraId="6015953E" w16cid:durableId="17B222CB"/>
  <w16cid:commentId w16cid:paraId="370B48BC" w16cid:durableId="5128ABD6"/>
  <w16cid:commentId w16cid:paraId="46F22CA3" w16cid:durableId="7DEA5FF2"/>
  <w16cid:commentId w16cid:paraId="53A748F9" w16cid:durableId="4A1F0177"/>
  <w16cid:commentId w16cid:paraId="53A7578A" w16cid:durableId="4DE3E6B8"/>
  <w16cid:commentId w16cid:paraId="55D6363A" w16cid:durableId="5CA8C9B7"/>
  <w16cid:commentId w16cid:paraId="15EB3AE5" w16cid:durableId="1DC72194"/>
  <w16cid:commentId w16cid:paraId="7C3F2546" w16cid:durableId="56B38DAA"/>
  <w16cid:commentId w16cid:paraId="1D85F694" w16cid:durableId="6F9EE9DD"/>
  <w16cid:commentId w16cid:paraId="375140E4" w16cid:durableId="30BFE4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3AEC3" w14:textId="77777777" w:rsidR="00C748E8" w:rsidRDefault="00C748E8">
      <w:r>
        <w:separator/>
      </w:r>
    </w:p>
  </w:endnote>
  <w:endnote w:type="continuationSeparator" w:id="0">
    <w:p w14:paraId="7DE47BB2" w14:textId="77777777" w:rsidR="00C748E8" w:rsidRDefault="00C7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9B186" w14:textId="77777777" w:rsidR="005657C2" w:rsidRDefault="005657C2" w:rsidP="00D20D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1C5FDC" w14:textId="77777777" w:rsidR="005657C2" w:rsidRDefault="005657C2" w:rsidP="00153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21646" w14:textId="77777777" w:rsidR="00A12B99" w:rsidRDefault="00A12B99">
    <w:pPr>
      <w:pStyle w:val="Footer"/>
      <w:jc w:val="center"/>
    </w:pPr>
    <w:r>
      <w:fldChar w:fldCharType="begin"/>
    </w:r>
    <w:r>
      <w:instrText xml:space="preserve"> PAGE   \* MERGEFORMAT </w:instrText>
    </w:r>
    <w:r>
      <w:fldChar w:fldCharType="separate"/>
    </w:r>
    <w:r>
      <w:rPr>
        <w:noProof/>
      </w:rPr>
      <w:t>2</w:t>
    </w:r>
    <w:r>
      <w:rPr>
        <w:noProof/>
      </w:rPr>
      <w:fldChar w:fldCharType="end"/>
    </w:r>
  </w:p>
  <w:p w14:paraId="0A6D3F8B" w14:textId="77777777" w:rsidR="005657C2" w:rsidRDefault="005657C2" w:rsidP="00153D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94008" w14:textId="77777777" w:rsidR="00C748E8" w:rsidRDefault="00C748E8">
      <w:r>
        <w:separator/>
      </w:r>
    </w:p>
  </w:footnote>
  <w:footnote w:type="continuationSeparator" w:id="0">
    <w:p w14:paraId="5692E5B0" w14:textId="77777777" w:rsidR="00C748E8" w:rsidRDefault="00C74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6BD6"/>
    <w:multiLevelType w:val="hybridMultilevel"/>
    <w:tmpl w:val="503699FC"/>
    <w:lvl w:ilvl="0" w:tplc="695A08EA">
      <w:numFmt w:val="bullet"/>
      <w:lvlText w:val="-"/>
      <w:lvlJc w:val="left"/>
      <w:pPr>
        <w:tabs>
          <w:tab w:val="num" w:pos="1080"/>
        </w:tabs>
        <w:ind w:left="1080" w:hanging="360"/>
      </w:pPr>
      <w:rPr>
        <w:rFonts w:ascii="Trebuchet MS" w:eastAsia="SimSu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2F691D"/>
    <w:multiLevelType w:val="hybridMultilevel"/>
    <w:tmpl w:val="B8BEC48A"/>
    <w:lvl w:ilvl="0" w:tplc="CCDEFA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66796"/>
    <w:multiLevelType w:val="hybridMultilevel"/>
    <w:tmpl w:val="30861368"/>
    <w:lvl w:ilvl="0" w:tplc="9A1A5AB4">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EE2A45"/>
    <w:multiLevelType w:val="hybridMultilevel"/>
    <w:tmpl w:val="3BB4DC8A"/>
    <w:lvl w:ilvl="0" w:tplc="7302A8FC">
      <w:start w:val="1"/>
      <w:numFmt w:val="lowerLetter"/>
      <w:lvlText w:val="%1)"/>
      <w:lvlJc w:val="left"/>
      <w:pPr>
        <w:ind w:left="600" w:hanging="360"/>
      </w:pPr>
      <w:rPr>
        <w:rFonts w:eastAsia="Calibri"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4" w15:restartNumberingAfterBreak="0">
    <w:nsid w:val="1DB43D81"/>
    <w:multiLevelType w:val="hybridMultilevel"/>
    <w:tmpl w:val="D30C301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51A4D"/>
    <w:multiLevelType w:val="hybridMultilevel"/>
    <w:tmpl w:val="4C887D06"/>
    <w:lvl w:ilvl="0" w:tplc="66CAE86A">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03C2FFA"/>
    <w:multiLevelType w:val="hybridMultilevel"/>
    <w:tmpl w:val="756A06AE"/>
    <w:lvl w:ilvl="0" w:tplc="6694D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197633"/>
    <w:multiLevelType w:val="hybridMultilevel"/>
    <w:tmpl w:val="22B84304"/>
    <w:lvl w:ilvl="0" w:tplc="FC7CADDA">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15:restartNumberingAfterBreak="0">
    <w:nsid w:val="45F62346"/>
    <w:multiLevelType w:val="hybridMultilevel"/>
    <w:tmpl w:val="540E2422"/>
    <w:lvl w:ilvl="0" w:tplc="D7101A6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9" w15:restartNumberingAfterBreak="0">
    <w:nsid w:val="4AB3783E"/>
    <w:multiLevelType w:val="hybridMultilevel"/>
    <w:tmpl w:val="C1E85C36"/>
    <w:lvl w:ilvl="0" w:tplc="ACEA27A2">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15:restartNumberingAfterBreak="0">
    <w:nsid w:val="53EC90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466114D"/>
    <w:multiLevelType w:val="hybridMultilevel"/>
    <w:tmpl w:val="2C8074BC"/>
    <w:lvl w:ilvl="0" w:tplc="BD16773E">
      <w:start w:val="1"/>
      <w:numFmt w:val="decimal"/>
      <w:lvlText w:val="(%1)"/>
      <w:lvlJc w:val="left"/>
      <w:pPr>
        <w:ind w:left="360" w:hanging="360"/>
      </w:pPr>
      <w:rPr>
        <w:rFonts w:ascii="Times New Roman" w:eastAsia="Times New Roman" w:hAnsi="Times New Roman" w:cs="Times New Roman"/>
        <w:b/>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57DF4FF7"/>
    <w:multiLevelType w:val="hybridMultilevel"/>
    <w:tmpl w:val="AC885DE8"/>
    <w:lvl w:ilvl="0" w:tplc="50263E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9511A89"/>
    <w:multiLevelType w:val="hybridMultilevel"/>
    <w:tmpl w:val="244A75B2"/>
    <w:lvl w:ilvl="0" w:tplc="4CA490F2">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4" w15:restartNumberingAfterBreak="0">
    <w:nsid w:val="6B2666EF"/>
    <w:multiLevelType w:val="hybridMultilevel"/>
    <w:tmpl w:val="39920CAE"/>
    <w:lvl w:ilvl="0" w:tplc="A19C453A">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5" w15:restartNumberingAfterBreak="0">
    <w:nsid w:val="6C68243C"/>
    <w:multiLevelType w:val="hybridMultilevel"/>
    <w:tmpl w:val="DD209D6A"/>
    <w:lvl w:ilvl="0" w:tplc="5680F81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5F168AB"/>
    <w:multiLevelType w:val="hybridMultilevel"/>
    <w:tmpl w:val="427E5EA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21329824">
    <w:abstractNumId w:val="6"/>
  </w:num>
  <w:num w:numId="2" w16cid:durableId="1835876356">
    <w:abstractNumId w:val="12"/>
  </w:num>
  <w:num w:numId="3" w16cid:durableId="231896430">
    <w:abstractNumId w:val="0"/>
  </w:num>
  <w:num w:numId="4" w16cid:durableId="1103305638">
    <w:abstractNumId w:val="5"/>
  </w:num>
  <w:num w:numId="5" w16cid:durableId="1570185671">
    <w:abstractNumId w:val="16"/>
  </w:num>
  <w:num w:numId="6" w16cid:durableId="208077620">
    <w:abstractNumId w:val="9"/>
  </w:num>
  <w:num w:numId="7" w16cid:durableId="265234937">
    <w:abstractNumId w:val="4"/>
  </w:num>
  <w:num w:numId="8" w16cid:durableId="1935086288">
    <w:abstractNumId w:val="2"/>
  </w:num>
  <w:num w:numId="9" w16cid:durableId="1610432100">
    <w:abstractNumId w:val="1"/>
  </w:num>
  <w:num w:numId="10" w16cid:durableId="908884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144264">
    <w:abstractNumId w:val="3"/>
  </w:num>
  <w:num w:numId="12" w16cid:durableId="1493906293">
    <w:abstractNumId w:val="14"/>
  </w:num>
  <w:num w:numId="13" w16cid:durableId="1167794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4924066">
    <w:abstractNumId w:val="10"/>
  </w:num>
  <w:num w:numId="15" w16cid:durableId="1728643966">
    <w:abstractNumId w:val="13"/>
  </w:num>
  <w:num w:numId="16" w16cid:durableId="1466310790">
    <w:abstractNumId w:val="7"/>
  </w:num>
  <w:num w:numId="17" w16cid:durableId="10244745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NBR">
    <w15:presenceInfo w15:providerId="None" w15:userId="UN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B46"/>
    <w:rsid w:val="00000904"/>
    <w:rsid w:val="00001F8D"/>
    <w:rsid w:val="0000273B"/>
    <w:rsid w:val="0000289E"/>
    <w:rsid w:val="00007ED9"/>
    <w:rsid w:val="00013D03"/>
    <w:rsid w:val="000155C0"/>
    <w:rsid w:val="0001709B"/>
    <w:rsid w:val="00020A95"/>
    <w:rsid w:val="000248D7"/>
    <w:rsid w:val="000407E6"/>
    <w:rsid w:val="0004512A"/>
    <w:rsid w:val="000526BF"/>
    <w:rsid w:val="00064EB6"/>
    <w:rsid w:val="00065EF2"/>
    <w:rsid w:val="000662DA"/>
    <w:rsid w:val="00071B2A"/>
    <w:rsid w:val="00073328"/>
    <w:rsid w:val="000923B3"/>
    <w:rsid w:val="0009384E"/>
    <w:rsid w:val="00093FBB"/>
    <w:rsid w:val="000A183A"/>
    <w:rsid w:val="000A416B"/>
    <w:rsid w:val="000A5F37"/>
    <w:rsid w:val="000A6091"/>
    <w:rsid w:val="000A6C37"/>
    <w:rsid w:val="000A7402"/>
    <w:rsid w:val="000C4FE3"/>
    <w:rsid w:val="000E1A10"/>
    <w:rsid w:val="000E2B43"/>
    <w:rsid w:val="000F101C"/>
    <w:rsid w:val="000F3AF4"/>
    <w:rsid w:val="00111000"/>
    <w:rsid w:val="00112BAF"/>
    <w:rsid w:val="00120153"/>
    <w:rsid w:val="001226F7"/>
    <w:rsid w:val="001408BB"/>
    <w:rsid w:val="00140D22"/>
    <w:rsid w:val="00143FCF"/>
    <w:rsid w:val="00150663"/>
    <w:rsid w:val="00153D29"/>
    <w:rsid w:val="0016228E"/>
    <w:rsid w:val="00162E87"/>
    <w:rsid w:val="00170AC7"/>
    <w:rsid w:val="00173FA5"/>
    <w:rsid w:val="00174CD4"/>
    <w:rsid w:val="00176E1B"/>
    <w:rsid w:val="0018468E"/>
    <w:rsid w:val="001A7D8E"/>
    <w:rsid w:val="001B259F"/>
    <w:rsid w:val="001D345A"/>
    <w:rsid w:val="001E2E8F"/>
    <w:rsid w:val="001E3AB1"/>
    <w:rsid w:val="001E4022"/>
    <w:rsid w:val="001E559F"/>
    <w:rsid w:val="001F2110"/>
    <w:rsid w:val="00201289"/>
    <w:rsid w:val="00204634"/>
    <w:rsid w:val="00205C4F"/>
    <w:rsid w:val="00207D12"/>
    <w:rsid w:val="00214276"/>
    <w:rsid w:val="0021493B"/>
    <w:rsid w:val="00214FE5"/>
    <w:rsid w:val="00216F96"/>
    <w:rsid w:val="002225EA"/>
    <w:rsid w:val="00231228"/>
    <w:rsid w:val="0023457E"/>
    <w:rsid w:val="00236627"/>
    <w:rsid w:val="0024291E"/>
    <w:rsid w:val="00247E84"/>
    <w:rsid w:val="00251A8C"/>
    <w:rsid w:val="002702F6"/>
    <w:rsid w:val="00275D46"/>
    <w:rsid w:val="002776D0"/>
    <w:rsid w:val="002935AB"/>
    <w:rsid w:val="002948AC"/>
    <w:rsid w:val="002A4BBD"/>
    <w:rsid w:val="002A7AA7"/>
    <w:rsid w:val="002B2D95"/>
    <w:rsid w:val="002C7552"/>
    <w:rsid w:val="002D18BC"/>
    <w:rsid w:val="002D464E"/>
    <w:rsid w:val="002D58D4"/>
    <w:rsid w:val="002E6792"/>
    <w:rsid w:val="002E7D03"/>
    <w:rsid w:val="002F75AB"/>
    <w:rsid w:val="00301BC0"/>
    <w:rsid w:val="003027CB"/>
    <w:rsid w:val="003066DD"/>
    <w:rsid w:val="00310483"/>
    <w:rsid w:val="00312AC7"/>
    <w:rsid w:val="00335BE1"/>
    <w:rsid w:val="003559EC"/>
    <w:rsid w:val="00365870"/>
    <w:rsid w:val="003747D4"/>
    <w:rsid w:val="00380430"/>
    <w:rsid w:val="00380F2A"/>
    <w:rsid w:val="00383AF6"/>
    <w:rsid w:val="00396316"/>
    <w:rsid w:val="003A4F81"/>
    <w:rsid w:val="003B2D8E"/>
    <w:rsid w:val="003B4D96"/>
    <w:rsid w:val="003C15CB"/>
    <w:rsid w:val="003C7807"/>
    <w:rsid w:val="003D15A1"/>
    <w:rsid w:val="003D5944"/>
    <w:rsid w:val="003D59AA"/>
    <w:rsid w:val="003E6A01"/>
    <w:rsid w:val="003E7ABC"/>
    <w:rsid w:val="003F1431"/>
    <w:rsid w:val="003F5D2A"/>
    <w:rsid w:val="003F718C"/>
    <w:rsid w:val="004014D2"/>
    <w:rsid w:val="00402469"/>
    <w:rsid w:val="00403B00"/>
    <w:rsid w:val="0040405C"/>
    <w:rsid w:val="00407E7A"/>
    <w:rsid w:val="00412389"/>
    <w:rsid w:val="00417FA3"/>
    <w:rsid w:val="004243DB"/>
    <w:rsid w:val="00435118"/>
    <w:rsid w:val="00444122"/>
    <w:rsid w:val="00460436"/>
    <w:rsid w:val="00465D2A"/>
    <w:rsid w:val="00471479"/>
    <w:rsid w:val="00473291"/>
    <w:rsid w:val="00480505"/>
    <w:rsid w:val="00480CA6"/>
    <w:rsid w:val="004844F8"/>
    <w:rsid w:val="00485A0A"/>
    <w:rsid w:val="004A0F8E"/>
    <w:rsid w:val="004A13DB"/>
    <w:rsid w:val="004A1D70"/>
    <w:rsid w:val="004B54DC"/>
    <w:rsid w:val="004C402B"/>
    <w:rsid w:val="004D254B"/>
    <w:rsid w:val="004D358C"/>
    <w:rsid w:val="004E3EE3"/>
    <w:rsid w:val="004E755C"/>
    <w:rsid w:val="00503749"/>
    <w:rsid w:val="00503A55"/>
    <w:rsid w:val="00505143"/>
    <w:rsid w:val="005059B7"/>
    <w:rsid w:val="00520F96"/>
    <w:rsid w:val="0052619D"/>
    <w:rsid w:val="00530CEF"/>
    <w:rsid w:val="00534AB1"/>
    <w:rsid w:val="00544C14"/>
    <w:rsid w:val="00546C57"/>
    <w:rsid w:val="00551332"/>
    <w:rsid w:val="005531F8"/>
    <w:rsid w:val="0055552F"/>
    <w:rsid w:val="00555640"/>
    <w:rsid w:val="00557AAE"/>
    <w:rsid w:val="005657C2"/>
    <w:rsid w:val="00582613"/>
    <w:rsid w:val="00585A9B"/>
    <w:rsid w:val="005A32F8"/>
    <w:rsid w:val="005A71CE"/>
    <w:rsid w:val="005C15BE"/>
    <w:rsid w:val="005C2555"/>
    <w:rsid w:val="005C3B2A"/>
    <w:rsid w:val="005C6270"/>
    <w:rsid w:val="005D06F2"/>
    <w:rsid w:val="005D12DF"/>
    <w:rsid w:val="005D3226"/>
    <w:rsid w:val="005D5364"/>
    <w:rsid w:val="005E022F"/>
    <w:rsid w:val="005E3278"/>
    <w:rsid w:val="005E35B7"/>
    <w:rsid w:val="005E3A2A"/>
    <w:rsid w:val="005E44E5"/>
    <w:rsid w:val="005E4AC3"/>
    <w:rsid w:val="005E6B5A"/>
    <w:rsid w:val="005F4292"/>
    <w:rsid w:val="006040D7"/>
    <w:rsid w:val="00614D0C"/>
    <w:rsid w:val="00624311"/>
    <w:rsid w:val="006250E8"/>
    <w:rsid w:val="006341ED"/>
    <w:rsid w:val="006350D5"/>
    <w:rsid w:val="0063571C"/>
    <w:rsid w:val="006360FF"/>
    <w:rsid w:val="00640A85"/>
    <w:rsid w:val="00641C02"/>
    <w:rsid w:val="00642D5B"/>
    <w:rsid w:val="00642F6E"/>
    <w:rsid w:val="0064399D"/>
    <w:rsid w:val="006528BC"/>
    <w:rsid w:val="006602E3"/>
    <w:rsid w:val="00676B35"/>
    <w:rsid w:val="00684554"/>
    <w:rsid w:val="006A2239"/>
    <w:rsid w:val="006A26BD"/>
    <w:rsid w:val="006A5E27"/>
    <w:rsid w:val="006A704F"/>
    <w:rsid w:val="006B246B"/>
    <w:rsid w:val="006B327B"/>
    <w:rsid w:val="006B55BD"/>
    <w:rsid w:val="006B64AF"/>
    <w:rsid w:val="006D10FA"/>
    <w:rsid w:val="006D3653"/>
    <w:rsid w:val="006E139C"/>
    <w:rsid w:val="006E190A"/>
    <w:rsid w:val="006E3578"/>
    <w:rsid w:val="006F521A"/>
    <w:rsid w:val="00704863"/>
    <w:rsid w:val="00706223"/>
    <w:rsid w:val="00712BF9"/>
    <w:rsid w:val="00714E98"/>
    <w:rsid w:val="00736C4F"/>
    <w:rsid w:val="007373F7"/>
    <w:rsid w:val="00752BEE"/>
    <w:rsid w:val="0075413D"/>
    <w:rsid w:val="0076776B"/>
    <w:rsid w:val="00771074"/>
    <w:rsid w:val="00775A81"/>
    <w:rsid w:val="007839C5"/>
    <w:rsid w:val="007926BB"/>
    <w:rsid w:val="0079374A"/>
    <w:rsid w:val="0079794A"/>
    <w:rsid w:val="007A3FB2"/>
    <w:rsid w:val="007A7F48"/>
    <w:rsid w:val="007C0766"/>
    <w:rsid w:val="007C147A"/>
    <w:rsid w:val="007C2E49"/>
    <w:rsid w:val="007C7090"/>
    <w:rsid w:val="007D4709"/>
    <w:rsid w:val="007E2B38"/>
    <w:rsid w:val="007E4017"/>
    <w:rsid w:val="0081135B"/>
    <w:rsid w:val="00812D8F"/>
    <w:rsid w:val="00813681"/>
    <w:rsid w:val="00813731"/>
    <w:rsid w:val="00826069"/>
    <w:rsid w:val="00830F87"/>
    <w:rsid w:val="008349A5"/>
    <w:rsid w:val="00834E61"/>
    <w:rsid w:val="008440FC"/>
    <w:rsid w:val="00867911"/>
    <w:rsid w:val="008741D7"/>
    <w:rsid w:val="00874441"/>
    <w:rsid w:val="00874BEE"/>
    <w:rsid w:val="00882CB5"/>
    <w:rsid w:val="0089193A"/>
    <w:rsid w:val="008919CD"/>
    <w:rsid w:val="008A3E92"/>
    <w:rsid w:val="008B6D37"/>
    <w:rsid w:val="008C23DF"/>
    <w:rsid w:val="008C542C"/>
    <w:rsid w:val="008D5BB2"/>
    <w:rsid w:val="008E4FD4"/>
    <w:rsid w:val="008F23A1"/>
    <w:rsid w:val="008F3A13"/>
    <w:rsid w:val="0090177A"/>
    <w:rsid w:val="00911009"/>
    <w:rsid w:val="009134F8"/>
    <w:rsid w:val="00932928"/>
    <w:rsid w:val="00940CC3"/>
    <w:rsid w:val="0094336D"/>
    <w:rsid w:val="00943E24"/>
    <w:rsid w:val="00943E8C"/>
    <w:rsid w:val="009470DD"/>
    <w:rsid w:val="0095265D"/>
    <w:rsid w:val="00957700"/>
    <w:rsid w:val="00957AAA"/>
    <w:rsid w:val="00961997"/>
    <w:rsid w:val="00963E2F"/>
    <w:rsid w:val="009677F4"/>
    <w:rsid w:val="009739AD"/>
    <w:rsid w:val="00983D62"/>
    <w:rsid w:val="0099196B"/>
    <w:rsid w:val="009A0094"/>
    <w:rsid w:val="009A2E80"/>
    <w:rsid w:val="009A37CC"/>
    <w:rsid w:val="009B6CAC"/>
    <w:rsid w:val="009C18FD"/>
    <w:rsid w:val="009D26ED"/>
    <w:rsid w:val="009D5C83"/>
    <w:rsid w:val="009D78D5"/>
    <w:rsid w:val="009E76E5"/>
    <w:rsid w:val="009F09E3"/>
    <w:rsid w:val="00A12B99"/>
    <w:rsid w:val="00A21A96"/>
    <w:rsid w:val="00A23240"/>
    <w:rsid w:val="00A2405A"/>
    <w:rsid w:val="00A26D4C"/>
    <w:rsid w:val="00A31D63"/>
    <w:rsid w:val="00A40421"/>
    <w:rsid w:val="00A43C54"/>
    <w:rsid w:val="00A646A5"/>
    <w:rsid w:val="00A65A78"/>
    <w:rsid w:val="00A67D40"/>
    <w:rsid w:val="00A777E8"/>
    <w:rsid w:val="00AA2D47"/>
    <w:rsid w:val="00AA4AE6"/>
    <w:rsid w:val="00AB41A0"/>
    <w:rsid w:val="00AB7AB6"/>
    <w:rsid w:val="00AC7170"/>
    <w:rsid w:val="00AD4893"/>
    <w:rsid w:val="00AD662B"/>
    <w:rsid w:val="00AD6F0C"/>
    <w:rsid w:val="00AD6F63"/>
    <w:rsid w:val="00AD7580"/>
    <w:rsid w:val="00AE0505"/>
    <w:rsid w:val="00AE4A84"/>
    <w:rsid w:val="00B01B62"/>
    <w:rsid w:val="00B049F9"/>
    <w:rsid w:val="00B14195"/>
    <w:rsid w:val="00B1565B"/>
    <w:rsid w:val="00B16F28"/>
    <w:rsid w:val="00B34674"/>
    <w:rsid w:val="00B40367"/>
    <w:rsid w:val="00B41F2A"/>
    <w:rsid w:val="00B4373B"/>
    <w:rsid w:val="00B43774"/>
    <w:rsid w:val="00B6170B"/>
    <w:rsid w:val="00B629F5"/>
    <w:rsid w:val="00B67CAA"/>
    <w:rsid w:val="00B97A36"/>
    <w:rsid w:val="00B97FF0"/>
    <w:rsid w:val="00BA2652"/>
    <w:rsid w:val="00BA3FE2"/>
    <w:rsid w:val="00BB070D"/>
    <w:rsid w:val="00BB59A8"/>
    <w:rsid w:val="00BC0D10"/>
    <w:rsid w:val="00BE0E58"/>
    <w:rsid w:val="00BE12F5"/>
    <w:rsid w:val="00BE6568"/>
    <w:rsid w:val="00C22DD0"/>
    <w:rsid w:val="00C23AD2"/>
    <w:rsid w:val="00C26421"/>
    <w:rsid w:val="00C37010"/>
    <w:rsid w:val="00C42EAB"/>
    <w:rsid w:val="00C50ABC"/>
    <w:rsid w:val="00C65BBF"/>
    <w:rsid w:val="00C679D8"/>
    <w:rsid w:val="00C704B6"/>
    <w:rsid w:val="00C748E8"/>
    <w:rsid w:val="00C759F2"/>
    <w:rsid w:val="00C75FE4"/>
    <w:rsid w:val="00C7763C"/>
    <w:rsid w:val="00C93CEA"/>
    <w:rsid w:val="00C97639"/>
    <w:rsid w:val="00CA7DE1"/>
    <w:rsid w:val="00CC00E5"/>
    <w:rsid w:val="00CD2178"/>
    <w:rsid w:val="00CE5784"/>
    <w:rsid w:val="00CE67CE"/>
    <w:rsid w:val="00CF0D78"/>
    <w:rsid w:val="00CF39A3"/>
    <w:rsid w:val="00D01ECF"/>
    <w:rsid w:val="00D071EF"/>
    <w:rsid w:val="00D102B2"/>
    <w:rsid w:val="00D151D9"/>
    <w:rsid w:val="00D20D3F"/>
    <w:rsid w:val="00D2236C"/>
    <w:rsid w:val="00D23254"/>
    <w:rsid w:val="00D3331D"/>
    <w:rsid w:val="00D355D3"/>
    <w:rsid w:val="00D37B74"/>
    <w:rsid w:val="00D5782A"/>
    <w:rsid w:val="00D61146"/>
    <w:rsid w:val="00D67BA5"/>
    <w:rsid w:val="00D73961"/>
    <w:rsid w:val="00D744D5"/>
    <w:rsid w:val="00D86661"/>
    <w:rsid w:val="00D86914"/>
    <w:rsid w:val="00D9082D"/>
    <w:rsid w:val="00DA72FB"/>
    <w:rsid w:val="00DB2299"/>
    <w:rsid w:val="00DC31F3"/>
    <w:rsid w:val="00DD1ACE"/>
    <w:rsid w:val="00DD5793"/>
    <w:rsid w:val="00DD5B29"/>
    <w:rsid w:val="00DE072C"/>
    <w:rsid w:val="00DF13F1"/>
    <w:rsid w:val="00E1513A"/>
    <w:rsid w:val="00E159ED"/>
    <w:rsid w:val="00E15F07"/>
    <w:rsid w:val="00E20348"/>
    <w:rsid w:val="00E3055A"/>
    <w:rsid w:val="00E33607"/>
    <w:rsid w:val="00E378E4"/>
    <w:rsid w:val="00E45DD5"/>
    <w:rsid w:val="00E460D6"/>
    <w:rsid w:val="00E523E7"/>
    <w:rsid w:val="00E56B54"/>
    <w:rsid w:val="00E655E3"/>
    <w:rsid w:val="00E866CF"/>
    <w:rsid w:val="00E92CEB"/>
    <w:rsid w:val="00E94A06"/>
    <w:rsid w:val="00E94A78"/>
    <w:rsid w:val="00E97A12"/>
    <w:rsid w:val="00EB3607"/>
    <w:rsid w:val="00EC0F12"/>
    <w:rsid w:val="00EC447C"/>
    <w:rsid w:val="00EC7034"/>
    <w:rsid w:val="00ED5695"/>
    <w:rsid w:val="00EE02F9"/>
    <w:rsid w:val="00EE069A"/>
    <w:rsid w:val="00EE0F21"/>
    <w:rsid w:val="00EF1AD5"/>
    <w:rsid w:val="00EF7034"/>
    <w:rsid w:val="00F038BD"/>
    <w:rsid w:val="00F06878"/>
    <w:rsid w:val="00F117B8"/>
    <w:rsid w:val="00F312C8"/>
    <w:rsid w:val="00F35B46"/>
    <w:rsid w:val="00F4569D"/>
    <w:rsid w:val="00F46983"/>
    <w:rsid w:val="00F477C2"/>
    <w:rsid w:val="00F54112"/>
    <w:rsid w:val="00F60BB4"/>
    <w:rsid w:val="00F62E19"/>
    <w:rsid w:val="00F74F83"/>
    <w:rsid w:val="00F80430"/>
    <w:rsid w:val="00F91765"/>
    <w:rsid w:val="00F924A3"/>
    <w:rsid w:val="00F96FEF"/>
    <w:rsid w:val="00F9745B"/>
    <w:rsid w:val="00FA4799"/>
    <w:rsid w:val="00FC0462"/>
    <w:rsid w:val="00FC14B1"/>
    <w:rsid w:val="00FC39F9"/>
    <w:rsid w:val="00FC69B2"/>
    <w:rsid w:val="00FE0048"/>
    <w:rsid w:val="00FE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B605"/>
  <w15:chartTrackingRefBased/>
  <w15:docId w15:val="{E3A0B68C-A7F2-4646-8DB8-F3DB907C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505"/>
    <w:rPr>
      <w:rFonts w:ascii="Trebuchet MS" w:hAnsi="Trebuchet MS"/>
      <w:sz w:val="24"/>
      <w:szCs w:val="24"/>
      <w:lang w:val="ro-RO" w:eastAsia="zh-CN"/>
    </w:rPr>
  </w:style>
  <w:style w:type="paragraph" w:styleId="Heading1">
    <w:name w:val="heading 1"/>
    <w:basedOn w:val="Normal"/>
    <w:next w:val="Normal"/>
    <w:link w:val="Heading1Char"/>
    <w:uiPriority w:val="9"/>
    <w:qFormat/>
    <w:rsid w:val="004A13DB"/>
    <w:pPr>
      <w:keepNext/>
      <w:keepLines/>
      <w:spacing w:before="240" w:line="288" w:lineRule="auto"/>
      <w:outlineLvl w:val="0"/>
    </w:pPr>
    <w:rPr>
      <w:rFonts w:ascii="Tahoma" w:eastAsia="Times New Roman" w:hAnsi="Tahoma"/>
      <w:b/>
      <w:color w:val="000000"/>
      <w:sz w:val="26"/>
      <w:szCs w:val="3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5DD5"/>
    <w:rPr>
      <w:color w:val="0000FF"/>
      <w:u w:val="single"/>
    </w:rPr>
  </w:style>
  <w:style w:type="paragraph" w:styleId="Footer">
    <w:name w:val="footer"/>
    <w:basedOn w:val="Normal"/>
    <w:link w:val="FooterChar"/>
    <w:uiPriority w:val="99"/>
    <w:rsid w:val="00153D29"/>
    <w:pPr>
      <w:tabs>
        <w:tab w:val="center" w:pos="4320"/>
        <w:tab w:val="right" w:pos="8640"/>
      </w:tabs>
    </w:pPr>
  </w:style>
  <w:style w:type="character" w:styleId="PageNumber">
    <w:name w:val="page number"/>
    <w:basedOn w:val="DefaultParagraphFont"/>
    <w:rsid w:val="00153D29"/>
  </w:style>
  <w:style w:type="table" w:styleId="TableGrid">
    <w:name w:val="Table Grid"/>
    <w:basedOn w:val="TableNormal"/>
    <w:rsid w:val="004A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ARTICOLeu">
    <w:name w:val="SUBARTICOL eu"/>
    <w:basedOn w:val="Normal"/>
    <w:link w:val="SUBARTICOLeuCaracter"/>
    <w:rsid w:val="005059B7"/>
    <w:pPr>
      <w:autoSpaceDE w:val="0"/>
      <w:autoSpaceDN w:val="0"/>
      <w:adjustRightInd w:val="0"/>
      <w:spacing w:before="40" w:line="242" w:lineRule="auto"/>
      <w:ind w:firstLine="284"/>
      <w:jc w:val="both"/>
    </w:pPr>
    <w:rPr>
      <w:rFonts w:ascii="Times New Roman" w:hAnsi="Times New Roman"/>
      <w:sz w:val="20"/>
      <w:szCs w:val="20"/>
      <w:lang w:eastAsia="en-US"/>
    </w:rPr>
  </w:style>
  <w:style w:type="character" w:customStyle="1" w:styleId="SUBARTICOLeuCaracter">
    <w:name w:val="SUBARTICOL eu Caracter"/>
    <w:link w:val="SUBARTICOLeu"/>
    <w:rsid w:val="005059B7"/>
    <w:rPr>
      <w:lang w:val="ro-RO" w:eastAsia="en-US" w:bidi="ar-SA"/>
    </w:rPr>
  </w:style>
  <w:style w:type="paragraph" w:styleId="BalloonText">
    <w:name w:val="Balloon Text"/>
    <w:basedOn w:val="Normal"/>
    <w:semiHidden/>
    <w:rsid w:val="0064399D"/>
    <w:rPr>
      <w:rFonts w:ascii="Tahoma" w:hAnsi="Tahoma" w:cs="Tahoma"/>
      <w:sz w:val="16"/>
      <w:szCs w:val="16"/>
    </w:rPr>
  </w:style>
  <w:style w:type="paragraph" w:styleId="Header">
    <w:name w:val="header"/>
    <w:basedOn w:val="Normal"/>
    <w:rsid w:val="0063571C"/>
    <w:pPr>
      <w:tabs>
        <w:tab w:val="center" w:pos="4536"/>
        <w:tab w:val="right" w:pos="9072"/>
      </w:tabs>
    </w:pPr>
  </w:style>
  <w:style w:type="character" w:customStyle="1" w:styleId="Heading1Char">
    <w:name w:val="Heading 1 Char"/>
    <w:link w:val="Heading1"/>
    <w:uiPriority w:val="9"/>
    <w:rsid w:val="004A13DB"/>
    <w:rPr>
      <w:rFonts w:ascii="Tahoma" w:eastAsia="Times New Roman" w:hAnsi="Tahoma"/>
      <w:b/>
      <w:color w:val="000000"/>
      <w:sz w:val="26"/>
      <w:szCs w:val="32"/>
      <w:u w:val="single"/>
      <w:lang w:eastAsia="en-US"/>
    </w:rPr>
  </w:style>
  <w:style w:type="paragraph" w:styleId="ListParagraph">
    <w:name w:val="List Paragraph"/>
    <w:basedOn w:val="Normal"/>
    <w:uiPriority w:val="34"/>
    <w:qFormat/>
    <w:rsid w:val="004A13DB"/>
    <w:pPr>
      <w:spacing w:line="288" w:lineRule="auto"/>
      <w:ind w:left="720"/>
      <w:contextualSpacing/>
    </w:pPr>
    <w:rPr>
      <w:rFonts w:ascii="Times New Roman" w:eastAsia="Times New Roman" w:hAnsi="Times New Roman"/>
      <w:sz w:val="28"/>
      <w:szCs w:val="22"/>
      <w:lang w:eastAsia="en-US"/>
    </w:rPr>
  </w:style>
  <w:style w:type="character" w:customStyle="1" w:styleId="FooterChar">
    <w:name w:val="Footer Char"/>
    <w:link w:val="Footer"/>
    <w:uiPriority w:val="99"/>
    <w:rsid w:val="009A2E80"/>
    <w:rPr>
      <w:rFonts w:ascii="Trebuchet MS" w:hAnsi="Trebuchet MS"/>
      <w:sz w:val="24"/>
      <w:szCs w:val="24"/>
      <w:lang w:eastAsia="zh-CN"/>
    </w:rPr>
  </w:style>
  <w:style w:type="character" w:customStyle="1" w:styleId="apple-converted-space">
    <w:name w:val="apple-converted-space"/>
    <w:uiPriority w:val="99"/>
    <w:rsid w:val="0075413D"/>
  </w:style>
  <w:style w:type="character" w:styleId="CommentReference">
    <w:name w:val="annotation reference"/>
    <w:uiPriority w:val="99"/>
    <w:rsid w:val="00957AAA"/>
    <w:rPr>
      <w:sz w:val="16"/>
      <w:szCs w:val="16"/>
    </w:rPr>
  </w:style>
  <w:style w:type="paragraph" w:styleId="CommentText">
    <w:name w:val="annotation text"/>
    <w:basedOn w:val="Normal"/>
    <w:link w:val="CommentTextChar"/>
    <w:rsid w:val="00957AAA"/>
    <w:rPr>
      <w:sz w:val="20"/>
      <w:szCs w:val="20"/>
    </w:rPr>
  </w:style>
  <w:style w:type="character" w:customStyle="1" w:styleId="CommentTextChar">
    <w:name w:val="Comment Text Char"/>
    <w:link w:val="CommentText"/>
    <w:rsid w:val="00957AAA"/>
    <w:rPr>
      <w:rFonts w:ascii="Trebuchet MS" w:hAnsi="Trebuchet MS"/>
      <w:lang w:eastAsia="zh-CN"/>
    </w:rPr>
  </w:style>
  <w:style w:type="paragraph" w:styleId="CommentSubject">
    <w:name w:val="annotation subject"/>
    <w:basedOn w:val="CommentText"/>
    <w:next w:val="CommentText"/>
    <w:link w:val="CommentSubjectChar"/>
    <w:rsid w:val="00957AAA"/>
    <w:rPr>
      <w:b/>
      <w:bCs/>
    </w:rPr>
  </w:style>
  <w:style w:type="character" w:customStyle="1" w:styleId="CommentSubjectChar">
    <w:name w:val="Comment Subject Char"/>
    <w:link w:val="CommentSubject"/>
    <w:rsid w:val="00957AAA"/>
    <w:rPr>
      <w:rFonts w:ascii="Trebuchet MS" w:hAnsi="Trebuchet MS"/>
      <w:b/>
      <w:bCs/>
      <w:lang w:eastAsia="zh-CN"/>
    </w:rPr>
  </w:style>
  <w:style w:type="paragraph" w:customStyle="1" w:styleId="Default">
    <w:name w:val="Default"/>
    <w:rsid w:val="00DD1ACE"/>
    <w:pPr>
      <w:autoSpaceDE w:val="0"/>
      <w:autoSpaceDN w:val="0"/>
      <w:adjustRightInd w:val="0"/>
    </w:pPr>
    <w:rPr>
      <w:rFonts w:eastAsia="Times New Roman"/>
      <w:color w:val="000000"/>
      <w:sz w:val="24"/>
      <w:szCs w:val="24"/>
    </w:rPr>
  </w:style>
  <w:style w:type="character" w:styleId="UnresolvedMention">
    <w:name w:val="Unresolved Mention"/>
    <w:uiPriority w:val="99"/>
    <w:semiHidden/>
    <w:unhideWhenUsed/>
    <w:rsid w:val="008A3E92"/>
    <w:rPr>
      <w:color w:val="605E5C"/>
      <w:shd w:val="clear" w:color="auto" w:fill="E1DFDD"/>
    </w:rPr>
  </w:style>
  <w:style w:type="paragraph" w:customStyle="1" w:styleId="Corp">
    <w:name w:val="Corp"/>
    <w:rsid w:val="001E559F"/>
    <w:rPr>
      <w:rFonts w:ascii="Trebuchet MS" w:eastAsia="Arial Unicode MS" w:hAnsi="Trebuchet MS" w:cs="Arial Unicode MS"/>
      <w:color w:val="000000"/>
      <w:sz w:val="24"/>
      <w:szCs w:val="24"/>
      <w:u w:color="000000"/>
      <w:lang w:val="ro-RO"/>
    </w:rPr>
  </w:style>
  <w:style w:type="character" w:styleId="Strong">
    <w:name w:val="Strong"/>
    <w:uiPriority w:val="22"/>
    <w:qFormat/>
    <w:rsid w:val="001E5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30874">
      <w:bodyDiv w:val="1"/>
      <w:marLeft w:val="0"/>
      <w:marRight w:val="0"/>
      <w:marTop w:val="0"/>
      <w:marBottom w:val="0"/>
      <w:divBdr>
        <w:top w:val="none" w:sz="0" w:space="0" w:color="auto"/>
        <w:left w:val="none" w:sz="0" w:space="0" w:color="auto"/>
        <w:bottom w:val="none" w:sz="0" w:space="0" w:color="auto"/>
        <w:right w:val="none" w:sz="0" w:space="0" w:color="auto"/>
      </w:divBdr>
    </w:div>
    <w:div w:id="267086409">
      <w:bodyDiv w:val="1"/>
      <w:marLeft w:val="0"/>
      <w:marRight w:val="0"/>
      <w:marTop w:val="0"/>
      <w:marBottom w:val="0"/>
      <w:divBdr>
        <w:top w:val="none" w:sz="0" w:space="0" w:color="auto"/>
        <w:left w:val="none" w:sz="0" w:space="0" w:color="auto"/>
        <w:bottom w:val="none" w:sz="0" w:space="0" w:color="auto"/>
        <w:right w:val="none" w:sz="0" w:space="0" w:color="auto"/>
      </w:divBdr>
    </w:div>
    <w:div w:id="389500670">
      <w:bodyDiv w:val="1"/>
      <w:marLeft w:val="0"/>
      <w:marRight w:val="0"/>
      <w:marTop w:val="0"/>
      <w:marBottom w:val="0"/>
      <w:divBdr>
        <w:top w:val="none" w:sz="0" w:space="0" w:color="auto"/>
        <w:left w:val="none" w:sz="0" w:space="0" w:color="auto"/>
        <w:bottom w:val="none" w:sz="0" w:space="0" w:color="auto"/>
        <w:right w:val="none" w:sz="0" w:space="0" w:color="auto"/>
      </w:divBdr>
    </w:div>
    <w:div w:id="589772774">
      <w:bodyDiv w:val="1"/>
      <w:marLeft w:val="0"/>
      <w:marRight w:val="0"/>
      <w:marTop w:val="0"/>
      <w:marBottom w:val="0"/>
      <w:divBdr>
        <w:top w:val="none" w:sz="0" w:space="0" w:color="auto"/>
        <w:left w:val="none" w:sz="0" w:space="0" w:color="auto"/>
        <w:bottom w:val="none" w:sz="0" w:space="0" w:color="auto"/>
        <w:right w:val="none" w:sz="0" w:space="0" w:color="auto"/>
      </w:divBdr>
    </w:div>
    <w:div w:id="795952586">
      <w:bodyDiv w:val="1"/>
      <w:marLeft w:val="0"/>
      <w:marRight w:val="0"/>
      <w:marTop w:val="0"/>
      <w:marBottom w:val="0"/>
      <w:divBdr>
        <w:top w:val="none" w:sz="0" w:space="0" w:color="auto"/>
        <w:left w:val="none" w:sz="0" w:space="0" w:color="auto"/>
        <w:bottom w:val="none" w:sz="0" w:space="0" w:color="auto"/>
        <w:right w:val="none" w:sz="0" w:space="0" w:color="auto"/>
      </w:divBdr>
    </w:div>
    <w:div w:id="970017392">
      <w:bodyDiv w:val="1"/>
      <w:marLeft w:val="0"/>
      <w:marRight w:val="0"/>
      <w:marTop w:val="0"/>
      <w:marBottom w:val="0"/>
      <w:divBdr>
        <w:top w:val="none" w:sz="0" w:space="0" w:color="auto"/>
        <w:left w:val="none" w:sz="0" w:space="0" w:color="auto"/>
        <w:bottom w:val="none" w:sz="0" w:space="0" w:color="auto"/>
        <w:right w:val="none" w:sz="0" w:space="0" w:color="auto"/>
      </w:divBdr>
    </w:div>
    <w:div w:id="1143624334">
      <w:bodyDiv w:val="1"/>
      <w:marLeft w:val="0"/>
      <w:marRight w:val="0"/>
      <w:marTop w:val="0"/>
      <w:marBottom w:val="0"/>
      <w:divBdr>
        <w:top w:val="none" w:sz="0" w:space="0" w:color="auto"/>
        <w:left w:val="none" w:sz="0" w:space="0" w:color="auto"/>
        <w:bottom w:val="none" w:sz="0" w:space="0" w:color="auto"/>
        <w:right w:val="none" w:sz="0" w:space="0" w:color="auto"/>
      </w:divBdr>
    </w:div>
    <w:div w:id="1202478259">
      <w:bodyDiv w:val="1"/>
      <w:marLeft w:val="0"/>
      <w:marRight w:val="0"/>
      <w:marTop w:val="0"/>
      <w:marBottom w:val="0"/>
      <w:divBdr>
        <w:top w:val="none" w:sz="0" w:space="0" w:color="auto"/>
        <w:left w:val="none" w:sz="0" w:space="0" w:color="auto"/>
        <w:bottom w:val="none" w:sz="0" w:space="0" w:color="auto"/>
        <w:right w:val="none" w:sz="0" w:space="0" w:color="auto"/>
      </w:divBdr>
    </w:div>
    <w:div w:id="1355955527">
      <w:bodyDiv w:val="1"/>
      <w:marLeft w:val="0"/>
      <w:marRight w:val="0"/>
      <w:marTop w:val="0"/>
      <w:marBottom w:val="0"/>
      <w:divBdr>
        <w:top w:val="none" w:sz="0" w:space="0" w:color="auto"/>
        <w:left w:val="none" w:sz="0" w:space="0" w:color="auto"/>
        <w:bottom w:val="none" w:sz="0" w:space="0" w:color="auto"/>
        <w:right w:val="none" w:sz="0" w:space="0" w:color="auto"/>
      </w:divBdr>
    </w:div>
    <w:div w:id="1461801885">
      <w:bodyDiv w:val="1"/>
      <w:marLeft w:val="0"/>
      <w:marRight w:val="0"/>
      <w:marTop w:val="0"/>
      <w:marBottom w:val="0"/>
      <w:divBdr>
        <w:top w:val="none" w:sz="0" w:space="0" w:color="auto"/>
        <w:left w:val="none" w:sz="0" w:space="0" w:color="auto"/>
        <w:bottom w:val="none" w:sz="0" w:space="0" w:color="auto"/>
        <w:right w:val="none" w:sz="0" w:space="0" w:color="auto"/>
      </w:divBdr>
    </w:div>
    <w:div w:id="1627352008">
      <w:bodyDiv w:val="1"/>
      <w:marLeft w:val="0"/>
      <w:marRight w:val="0"/>
      <w:marTop w:val="0"/>
      <w:marBottom w:val="0"/>
      <w:divBdr>
        <w:top w:val="none" w:sz="0" w:space="0" w:color="auto"/>
        <w:left w:val="none" w:sz="0" w:space="0" w:color="auto"/>
        <w:bottom w:val="none" w:sz="0" w:space="0" w:color="auto"/>
        <w:right w:val="none" w:sz="0" w:space="0" w:color="auto"/>
      </w:divBdr>
    </w:div>
    <w:div w:id="1661929234">
      <w:bodyDiv w:val="1"/>
      <w:marLeft w:val="0"/>
      <w:marRight w:val="0"/>
      <w:marTop w:val="0"/>
      <w:marBottom w:val="0"/>
      <w:divBdr>
        <w:top w:val="none" w:sz="0" w:space="0" w:color="auto"/>
        <w:left w:val="none" w:sz="0" w:space="0" w:color="auto"/>
        <w:bottom w:val="none" w:sz="0" w:space="0" w:color="auto"/>
        <w:right w:val="none" w:sz="0" w:space="0" w:color="auto"/>
      </w:divBdr>
    </w:div>
    <w:div w:id="1707676125">
      <w:bodyDiv w:val="1"/>
      <w:marLeft w:val="0"/>
      <w:marRight w:val="0"/>
      <w:marTop w:val="0"/>
      <w:marBottom w:val="0"/>
      <w:divBdr>
        <w:top w:val="none" w:sz="0" w:space="0" w:color="auto"/>
        <w:left w:val="none" w:sz="0" w:space="0" w:color="auto"/>
        <w:bottom w:val="none" w:sz="0" w:space="0" w:color="auto"/>
        <w:right w:val="none" w:sz="0" w:space="0" w:color="auto"/>
      </w:divBdr>
    </w:div>
    <w:div w:id="1822428681">
      <w:bodyDiv w:val="1"/>
      <w:marLeft w:val="0"/>
      <w:marRight w:val="0"/>
      <w:marTop w:val="0"/>
      <w:marBottom w:val="0"/>
      <w:divBdr>
        <w:top w:val="none" w:sz="0" w:space="0" w:color="auto"/>
        <w:left w:val="none" w:sz="0" w:space="0" w:color="auto"/>
        <w:bottom w:val="none" w:sz="0" w:space="0" w:color="auto"/>
        <w:right w:val="none" w:sz="0" w:space="0" w:color="auto"/>
      </w:divBdr>
    </w:div>
    <w:div w:id="1825392533">
      <w:bodyDiv w:val="1"/>
      <w:marLeft w:val="0"/>
      <w:marRight w:val="0"/>
      <w:marTop w:val="0"/>
      <w:marBottom w:val="0"/>
      <w:divBdr>
        <w:top w:val="none" w:sz="0" w:space="0" w:color="auto"/>
        <w:left w:val="none" w:sz="0" w:space="0" w:color="auto"/>
        <w:bottom w:val="none" w:sz="0" w:space="0" w:color="auto"/>
        <w:right w:val="none" w:sz="0" w:space="0" w:color="auto"/>
      </w:divBdr>
    </w:div>
    <w:div w:id="1835685884">
      <w:bodyDiv w:val="1"/>
      <w:marLeft w:val="0"/>
      <w:marRight w:val="0"/>
      <w:marTop w:val="0"/>
      <w:marBottom w:val="0"/>
      <w:divBdr>
        <w:top w:val="none" w:sz="0" w:space="0" w:color="auto"/>
        <w:left w:val="none" w:sz="0" w:space="0" w:color="auto"/>
        <w:bottom w:val="none" w:sz="0" w:space="0" w:color="auto"/>
        <w:right w:val="none" w:sz="0" w:space="0" w:color="auto"/>
      </w:divBdr>
    </w:div>
    <w:div w:id="1838614607">
      <w:bodyDiv w:val="1"/>
      <w:marLeft w:val="0"/>
      <w:marRight w:val="0"/>
      <w:marTop w:val="0"/>
      <w:marBottom w:val="0"/>
      <w:divBdr>
        <w:top w:val="none" w:sz="0" w:space="0" w:color="auto"/>
        <w:left w:val="none" w:sz="0" w:space="0" w:color="auto"/>
        <w:bottom w:val="none" w:sz="0" w:space="0" w:color="auto"/>
        <w:right w:val="none" w:sz="0" w:space="0" w:color="auto"/>
      </w:divBdr>
    </w:div>
    <w:div w:id="1909218992">
      <w:bodyDiv w:val="1"/>
      <w:marLeft w:val="0"/>
      <w:marRight w:val="0"/>
      <w:marTop w:val="0"/>
      <w:marBottom w:val="0"/>
      <w:divBdr>
        <w:top w:val="none" w:sz="0" w:space="0" w:color="auto"/>
        <w:left w:val="none" w:sz="0" w:space="0" w:color="auto"/>
        <w:bottom w:val="none" w:sz="0" w:space="0" w:color="auto"/>
        <w:right w:val="none" w:sz="0" w:space="0" w:color="auto"/>
      </w:divBdr>
    </w:div>
    <w:div w:id="1937785172">
      <w:bodyDiv w:val="1"/>
      <w:marLeft w:val="0"/>
      <w:marRight w:val="0"/>
      <w:marTop w:val="0"/>
      <w:marBottom w:val="0"/>
      <w:divBdr>
        <w:top w:val="none" w:sz="0" w:space="0" w:color="auto"/>
        <w:left w:val="none" w:sz="0" w:space="0" w:color="auto"/>
        <w:bottom w:val="none" w:sz="0" w:space="0" w:color="auto"/>
        <w:right w:val="none" w:sz="0" w:space="0" w:color="auto"/>
      </w:divBdr>
    </w:div>
    <w:div w:id="1939945240">
      <w:bodyDiv w:val="1"/>
      <w:marLeft w:val="0"/>
      <w:marRight w:val="0"/>
      <w:marTop w:val="0"/>
      <w:marBottom w:val="0"/>
      <w:divBdr>
        <w:top w:val="none" w:sz="0" w:space="0" w:color="auto"/>
        <w:left w:val="none" w:sz="0" w:space="0" w:color="auto"/>
        <w:bottom w:val="none" w:sz="0" w:space="0" w:color="auto"/>
        <w:right w:val="none" w:sz="0" w:space="0" w:color="auto"/>
      </w:divBdr>
    </w:div>
    <w:div w:id="2048489042">
      <w:bodyDiv w:val="1"/>
      <w:marLeft w:val="0"/>
      <w:marRight w:val="0"/>
      <w:marTop w:val="0"/>
      <w:marBottom w:val="0"/>
      <w:divBdr>
        <w:top w:val="none" w:sz="0" w:space="0" w:color="auto"/>
        <w:left w:val="none" w:sz="0" w:space="0" w:color="auto"/>
        <w:bottom w:val="none" w:sz="0" w:space="0" w:color="auto"/>
        <w:right w:val="none" w:sz="0" w:space="0" w:color="auto"/>
      </w:divBdr>
    </w:div>
    <w:div w:id="20736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2168</Words>
  <Characters>12363</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Hewlett-Packard</Company>
  <LinksUpToDate>false</LinksUpToDate>
  <CharactersWithSpaces>14502</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Vasile Gheorghe</dc:creator>
  <cp:keywords/>
  <cp:lastModifiedBy>Sandu Gherasim</cp:lastModifiedBy>
  <cp:revision>3</cp:revision>
  <cp:lastPrinted>2024-04-17T08:58:00Z</cp:lastPrinted>
  <dcterms:created xsi:type="dcterms:W3CDTF">2024-09-02T11:35:00Z</dcterms:created>
  <dcterms:modified xsi:type="dcterms:W3CDTF">2024-09-02T11:37:00Z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1AWYmHTK1LJUPSJQBvt_R5C8CKcPRhL0BXlmZhEStBD4</vt:lpwstr>
  </property>
  <property fmtid="{D5CDD505-2E9C-101B-9397-08002B2CF9AE}" pid="4" name="Google.Documents.RevisionId">
    <vt:lpwstr>10456792347953657670</vt:lpwstr>
  </property>
  <property fmtid="{D5CDD505-2E9C-101B-9397-08002B2CF9AE}" pid="5" name="Google.Documents.PreviousRevisionId">
    <vt:lpwstr>01655940397247806628</vt:lpwstr>
  </property>
  <property fmtid="{D5CDD505-2E9C-101B-9397-08002B2CF9AE}" pid="6" name="Google.Documents.PluginVersion">
    <vt:lpwstr>2.0.2662.553</vt:lpwstr>
  </property>
  <property fmtid="{D5CDD505-2E9C-101B-9397-08002B2CF9AE}" pid="7" name="Google.Documents.MergeIncapabilityFlags">
    <vt:i4>0</vt:i4>
  </property>
</Properties>
</file>