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551D62" w14:textId="63258931" w:rsidR="007033F2" w:rsidRPr="00937DAF" w:rsidRDefault="007033F2" w:rsidP="00BF0BE1">
      <w:pPr>
        <w:spacing w:after="0"/>
        <w:jc w:val="center"/>
        <w:rPr>
          <w:rFonts w:ascii="Arial" w:hAnsi="Arial" w:cs="Arial"/>
          <w:b/>
          <w:sz w:val="32"/>
          <w:szCs w:val="32"/>
        </w:rPr>
      </w:pPr>
      <w:r w:rsidRPr="00937DAF">
        <w:rPr>
          <w:rFonts w:ascii="Arial" w:hAnsi="Arial" w:cs="Arial"/>
          <w:b/>
          <w:sz w:val="32"/>
          <w:szCs w:val="32"/>
        </w:rPr>
        <w:t>UNIUNEA NAȚIONALĂ A BAROURILOR DIN ROMÂNIA</w:t>
      </w:r>
    </w:p>
    <w:p w14:paraId="5D552C5D" w14:textId="20B5684E" w:rsidR="007033F2" w:rsidRPr="00937DAF" w:rsidRDefault="007033F2" w:rsidP="00BF0BE1">
      <w:pPr>
        <w:spacing w:after="0"/>
        <w:jc w:val="center"/>
        <w:rPr>
          <w:rFonts w:ascii="Arial" w:hAnsi="Arial" w:cs="Arial"/>
          <w:b/>
          <w:i/>
          <w:sz w:val="32"/>
          <w:szCs w:val="32"/>
        </w:rPr>
      </w:pPr>
      <w:r w:rsidRPr="00937DAF">
        <w:rPr>
          <w:rFonts w:ascii="Arial" w:hAnsi="Arial" w:cs="Arial"/>
          <w:b/>
          <w:i/>
          <w:sz w:val="32"/>
          <w:szCs w:val="32"/>
        </w:rPr>
        <w:t>CONSILIUL UNIUNII</w:t>
      </w:r>
    </w:p>
    <w:p w14:paraId="01CCAFDC" w14:textId="77777777" w:rsidR="007033F2" w:rsidRDefault="007033F2" w:rsidP="00BF0BE1">
      <w:pPr>
        <w:spacing w:after="0"/>
        <w:jc w:val="center"/>
        <w:rPr>
          <w:rFonts w:cstheme="minorHAnsi"/>
          <w:b/>
          <w:sz w:val="28"/>
          <w:szCs w:val="28"/>
        </w:rPr>
      </w:pPr>
    </w:p>
    <w:p w14:paraId="3FB3A13F" w14:textId="77777777" w:rsidR="00BF0BE1" w:rsidRDefault="00BF0BE1" w:rsidP="00BF0BE1">
      <w:pPr>
        <w:spacing w:after="0"/>
        <w:jc w:val="center"/>
        <w:rPr>
          <w:rFonts w:cstheme="minorHAnsi"/>
          <w:b/>
          <w:sz w:val="28"/>
          <w:szCs w:val="28"/>
        </w:rPr>
      </w:pPr>
    </w:p>
    <w:p w14:paraId="01B6C129" w14:textId="77777777" w:rsidR="00BF0BE1" w:rsidRPr="00D41F2E" w:rsidRDefault="00BF0BE1" w:rsidP="00BF0BE1">
      <w:pPr>
        <w:spacing w:after="0"/>
        <w:jc w:val="center"/>
        <w:rPr>
          <w:rFonts w:cstheme="minorHAnsi"/>
          <w:b/>
          <w:sz w:val="28"/>
          <w:szCs w:val="28"/>
        </w:rPr>
      </w:pPr>
    </w:p>
    <w:p w14:paraId="5951287D" w14:textId="68EAFE0D" w:rsidR="007033F2" w:rsidRPr="00D41F2E" w:rsidRDefault="007033F2" w:rsidP="00BF0BE1">
      <w:pPr>
        <w:spacing w:after="0"/>
        <w:jc w:val="center"/>
        <w:rPr>
          <w:rFonts w:cstheme="minorHAnsi"/>
          <w:b/>
          <w:i/>
          <w:sz w:val="28"/>
          <w:szCs w:val="28"/>
        </w:rPr>
      </w:pPr>
      <w:r w:rsidRPr="00D41F2E">
        <w:rPr>
          <w:rFonts w:cstheme="minorHAnsi"/>
          <w:b/>
          <w:sz w:val="28"/>
          <w:szCs w:val="28"/>
          <w:u w:val="single"/>
        </w:rPr>
        <w:t>HOTĂRÂREA nr.</w:t>
      </w:r>
      <w:r w:rsidR="0087022A" w:rsidRPr="00D41F2E">
        <w:rPr>
          <w:rFonts w:cstheme="minorHAnsi"/>
          <w:b/>
          <w:sz w:val="28"/>
          <w:szCs w:val="28"/>
          <w:u w:val="single"/>
        </w:rPr>
        <w:t xml:space="preserve"> </w:t>
      </w:r>
      <w:r w:rsidR="00BF0BE1">
        <w:rPr>
          <w:rFonts w:cstheme="minorHAnsi"/>
          <w:b/>
          <w:sz w:val="28"/>
          <w:szCs w:val="28"/>
          <w:u w:val="single"/>
        </w:rPr>
        <w:t>100</w:t>
      </w:r>
    </w:p>
    <w:p w14:paraId="198B1E87" w14:textId="443E9B99" w:rsidR="007033F2" w:rsidRPr="00D41F2E" w:rsidRDefault="00244DB4" w:rsidP="00BF0BE1">
      <w:pPr>
        <w:spacing w:after="0"/>
        <w:jc w:val="center"/>
        <w:rPr>
          <w:rFonts w:cstheme="minorHAnsi"/>
          <w:b/>
          <w:i/>
          <w:iCs/>
          <w:sz w:val="28"/>
          <w:szCs w:val="28"/>
        </w:rPr>
      </w:pPr>
      <w:r>
        <w:rPr>
          <w:rFonts w:cstheme="minorHAnsi"/>
          <w:b/>
          <w:i/>
          <w:iCs/>
          <w:sz w:val="28"/>
          <w:szCs w:val="28"/>
        </w:rPr>
        <w:t>30</w:t>
      </w:r>
      <w:r w:rsidR="0064422D" w:rsidRPr="00D41F2E">
        <w:rPr>
          <w:rFonts w:cstheme="minorHAnsi"/>
          <w:b/>
          <w:i/>
          <w:iCs/>
          <w:sz w:val="28"/>
          <w:szCs w:val="28"/>
        </w:rPr>
        <w:t xml:space="preserve"> </w:t>
      </w:r>
      <w:r w:rsidR="00CC3C3A">
        <w:rPr>
          <w:rFonts w:cstheme="minorHAnsi"/>
          <w:b/>
          <w:i/>
          <w:iCs/>
          <w:sz w:val="28"/>
          <w:szCs w:val="28"/>
        </w:rPr>
        <w:t>august</w:t>
      </w:r>
      <w:r w:rsidR="0087022A" w:rsidRPr="00D41F2E">
        <w:rPr>
          <w:rFonts w:cstheme="minorHAnsi"/>
          <w:b/>
          <w:i/>
          <w:iCs/>
          <w:sz w:val="28"/>
          <w:szCs w:val="28"/>
        </w:rPr>
        <w:t xml:space="preserve"> 20</w:t>
      </w:r>
      <w:r>
        <w:rPr>
          <w:rFonts w:cstheme="minorHAnsi"/>
          <w:b/>
          <w:i/>
          <w:iCs/>
          <w:sz w:val="28"/>
          <w:szCs w:val="28"/>
        </w:rPr>
        <w:t>24</w:t>
      </w:r>
    </w:p>
    <w:p w14:paraId="6E253025" w14:textId="77777777" w:rsidR="00082B4D" w:rsidRPr="00D41F2E" w:rsidRDefault="00082B4D" w:rsidP="00BF0BE1">
      <w:pPr>
        <w:spacing w:after="0"/>
        <w:jc w:val="center"/>
        <w:rPr>
          <w:rFonts w:cstheme="minorHAnsi"/>
          <w:b/>
          <w:i/>
          <w:iCs/>
          <w:sz w:val="28"/>
          <w:szCs w:val="28"/>
          <w:u w:val="single"/>
        </w:rPr>
      </w:pPr>
    </w:p>
    <w:p w14:paraId="7957C07C" w14:textId="77777777" w:rsidR="00BF0BE1" w:rsidRDefault="00BF0BE1" w:rsidP="00BF0BE1">
      <w:pPr>
        <w:spacing w:after="0"/>
        <w:ind w:firstLine="720"/>
        <w:jc w:val="both"/>
        <w:rPr>
          <w:rFonts w:cstheme="minorHAnsi"/>
          <w:i/>
          <w:iCs/>
          <w:sz w:val="24"/>
          <w:szCs w:val="24"/>
        </w:rPr>
      </w:pPr>
      <w:r w:rsidRPr="00C15BD3">
        <w:rPr>
          <w:rFonts w:cstheme="minorHAnsi"/>
          <w:i/>
          <w:iCs/>
          <w:sz w:val="24"/>
          <w:szCs w:val="24"/>
        </w:rPr>
        <w:t xml:space="preserve">În baza dispozițiilor art. </w:t>
      </w:r>
      <w:r>
        <w:rPr>
          <w:rFonts w:cstheme="minorHAnsi"/>
          <w:i/>
          <w:iCs/>
          <w:sz w:val="24"/>
          <w:szCs w:val="24"/>
        </w:rPr>
        <w:t xml:space="preserve">63 alin. (1) lit. e) și </w:t>
      </w:r>
      <w:r w:rsidRPr="00C15BD3">
        <w:rPr>
          <w:rFonts w:cstheme="minorHAnsi"/>
          <w:i/>
          <w:iCs/>
          <w:sz w:val="24"/>
          <w:szCs w:val="24"/>
        </w:rPr>
        <w:t>65 lit.</w:t>
      </w:r>
      <w:r>
        <w:rPr>
          <w:rFonts w:cstheme="minorHAnsi"/>
          <w:i/>
          <w:iCs/>
          <w:sz w:val="24"/>
          <w:szCs w:val="24"/>
        </w:rPr>
        <w:t xml:space="preserve"> a, c) și</w:t>
      </w:r>
      <w:r w:rsidRPr="00C15BD3">
        <w:rPr>
          <w:rFonts w:cstheme="minorHAnsi"/>
          <w:i/>
          <w:iCs/>
          <w:sz w:val="24"/>
          <w:szCs w:val="24"/>
        </w:rPr>
        <w:t xml:space="preserve"> s) din Legea nr. 51/1995 pentru organizarea și exercitarea profesiei de avocat, republicată, cu modificările și completările ulterioare</w:t>
      </w:r>
      <w:r>
        <w:rPr>
          <w:rFonts w:cstheme="minorHAnsi"/>
          <w:i/>
          <w:iCs/>
          <w:sz w:val="24"/>
          <w:szCs w:val="24"/>
        </w:rPr>
        <w:t xml:space="preserve">, </w:t>
      </w:r>
      <w:bookmarkStart w:id="0" w:name="_Hlk130555810"/>
      <w:r>
        <w:rPr>
          <w:rFonts w:cstheme="minorHAnsi"/>
          <w:i/>
          <w:iCs/>
          <w:sz w:val="24"/>
          <w:szCs w:val="24"/>
        </w:rPr>
        <w:t xml:space="preserve">precum și </w:t>
      </w:r>
      <w:r w:rsidRPr="00C15BD3">
        <w:rPr>
          <w:rFonts w:cstheme="minorHAnsi"/>
          <w:i/>
          <w:iCs/>
          <w:sz w:val="24"/>
          <w:szCs w:val="24"/>
        </w:rPr>
        <w:t xml:space="preserve">ale art. </w:t>
      </w:r>
      <w:r>
        <w:rPr>
          <w:rFonts w:cstheme="minorHAnsi"/>
          <w:i/>
          <w:iCs/>
          <w:sz w:val="24"/>
          <w:szCs w:val="24"/>
        </w:rPr>
        <w:t>138</w:t>
      </w:r>
      <w:r w:rsidRPr="00C15BD3">
        <w:rPr>
          <w:rFonts w:cstheme="minorHAnsi"/>
          <w:i/>
          <w:iCs/>
          <w:sz w:val="24"/>
          <w:szCs w:val="24"/>
        </w:rPr>
        <w:t xml:space="preserve"> </w:t>
      </w:r>
      <w:bookmarkEnd w:id="0"/>
      <w:r>
        <w:rPr>
          <w:rFonts w:cstheme="minorHAnsi"/>
          <w:i/>
          <w:iCs/>
          <w:sz w:val="24"/>
          <w:szCs w:val="24"/>
        </w:rPr>
        <w:t xml:space="preserve">din </w:t>
      </w:r>
      <w:r w:rsidRPr="00C15BD3">
        <w:rPr>
          <w:rFonts w:cstheme="minorHAnsi"/>
          <w:i/>
          <w:iCs/>
          <w:sz w:val="24"/>
          <w:szCs w:val="24"/>
        </w:rPr>
        <w:t>Legea 72/2016 privind pensiile și alte drepturi de asigurări sociale ale avocaților</w:t>
      </w:r>
      <w:r>
        <w:rPr>
          <w:rFonts w:cstheme="minorHAnsi"/>
          <w:i/>
          <w:iCs/>
          <w:sz w:val="24"/>
          <w:szCs w:val="24"/>
        </w:rPr>
        <w:t>,</w:t>
      </w:r>
    </w:p>
    <w:p w14:paraId="36805387" w14:textId="77777777" w:rsidR="00BF0BE1" w:rsidRDefault="00BF0BE1" w:rsidP="00BF0BE1">
      <w:pPr>
        <w:spacing w:after="0"/>
        <w:ind w:firstLine="720"/>
        <w:jc w:val="both"/>
        <w:rPr>
          <w:rFonts w:cstheme="minorHAnsi"/>
          <w:i/>
          <w:iCs/>
          <w:sz w:val="24"/>
          <w:szCs w:val="24"/>
        </w:rPr>
      </w:pPr>
      <w:r>
        <w:rPr>
          <w:rFonts w:cstheme="minorHAnsi"/>
          <w:i/>
          <w:iCs/>
          <w:sz w:val="24"/>
          <w:szCs w:val="24"/>
        </w:rPr>
        <w:t xml:space="preserve">Văzând Hotărârea Congresului avocaților nr. 4/14-15 iunie 2024 prin care Consiliul Uniunii Naționale a Barourilor din România (U.N.B.R.) a fost mandatat </w:t>
      </w:r>
      <w:r w:rsidRPr="00957BB7">
        <w:rPr>
          <w:rFonts w:cstheme="minorHAnsi"/>
          <w:i/>
          <w:iCs/>
          <w:sz w:val="24"/>
          <w:szCs w:val="24"/>
        </w:rPr>
        <w:t xml:space="preserve">să adopte, între Congrese, modificări și completări ale </w:t>
      </w:r>
      <w:r>
        <w:rPr>
          <w:rFonts w:cstheme="minorHAnsi"/>
          <w:i/>
          <w:iCs/>
          <w:sz w:val="24"/>
          <w:szCs w:val="24"/>
        </w:rPr>
        <w:t>Statutului Casei de Asigurări a Avocaților (C.A.A.),</w:t>
      </w:r>
    </w:p>
    <w:p w14:paraId="60EDB728" w14:textId="39BC622A" w:rsidR="0087293B" w:rsidRDefault="00996569" w:rsidP="00BF0BE1">
      <w:pPr>
        <w:spacing w:after="0"/>
        <w:ind w:firstLine="720"/>
        <w:jc w:val="both"/>
        <w:rPr>
          <w:rFonts w:cstheme="minorHAnsi"/>
          <w:i/>
          <w:iCs/>
          <w:sz w:val="24"/>
          <w:szCs w:val="24"/>
        </w:rPr>
      </w:pPr>
      <w:r>
        <w:rPr>
          <w:rFonts w:cstheme="minorHAnsi"/>
          <w:i/>
          <w:iCs/>
          <w:sz w:val="24"/>
          <w:szCs w:val="24"/>
        </w:rPr>
        <w:t>Având în vedere necesitatea existenței unei strategii de investire reglementată la nivelul sistemului de pensii și alte drepturi de asigurări sociale cu scopul limitării riscurilor investiționale dar și pentru investirea în instrumente care să asigure randamente cât mai mari posibile cu păstrarea riscului investițional în limite suportabile</w:t>
      </w:r>
      <w:r w:rsidR="00244DB4">
        <w:rPr>
          <w:rFonts w:cstheme="minorHAnsi"/>
          <w:i/>
          <w:iCs/>
          <w:sz w:val="24"/>
          <w:szCs w:val="24"/>
        </w:rPr>
        <w:t>;</w:t>
      </w:r>
    </w:p>
    <w:p w14:paraId="3BF830A9" w14:textId="1A212B7A" w:rsidR="00996569" w:rsidRDefault="00690487" w:rsidP="00BF0BE1">
      <w:pPr>
        <w:spacing w:after="0"/>
        <w:ind w:firstLine="720"/>
        <w:jc w:val="both"/>
        <w:rPr>
          <w:rFonts w:ascii="Calibri" w:hAnsi="Calibri" w:cs="Calibri"/>
          <w:i/>
          <w:iCs/>
          <w:sz w:val="24"/>
          <w:szCs w:val="24"/>
        </w:rPr>
      </w:pPr>
      <w:r w:rsidRPr="00996569">
        <w:rPr>
          <w:rFonts w:cstheme="minorHAnsi"/>
          <w:i/>
          <w:iCs/>
          <w:sz w:val="24"/>
          <w:szCs w:val="24"/>
        </w:rPr>
        <w:t xml:space="preserve">Ținând cont de propunerea </w:t>
      </w:r>
      <w:r w:rsidR="00244DB4" w:rsidRPr="00996569">
        <w:rPr>
          <w:rFonts w:cstheme="minorHAnsi"/>
          <w:i/>
          <w:iCs/>
          <w:sz w:val="24"/>
          <w:szCs w:val="24"/>
        </w:rPr>
        <w:t>C.A.A.</w:t>
      </w:r>
      <w:r w:rsidR="00996569">
        <w:rPr>
          <w:rFonts w:cstheme="minorHAnsi"/>
          <w:i/>
          <w:iCs/>
          <w:sz w:val="24"/>
          <w:szCs w:val="24"/>
        </w:rPr>
        <w:t>,</w:t>
      </w:r>
      <w:r w:rsidR="00244DB4" w:rsidRPr="00996569">
        <w:rPr>
          <w:rFonts w:cstheme="minorHAnsi"/>
          <w:i/>
          <w:iCs/>
          <w:sz w:val="24"/>
          <w:szCs w:val="24"/>
        </w:rPr>
        <w:t xml:space="preserve"> </w:t>
      </w:r>
      <w:r w:rsidR="00996569" w:rsidRPr="00996569">
        <w:rPr>
          <w:rFonts w:cstheme="minorHAnsi"/>
          <w:i/>
          <w:iCs/>
          <w:sz w:val="24"/>
          <w:szCs w:val="24"/>
        </w:rPr>
        <w:t>aprobată de Consiliul U</w:t>
      </w:r>
      <w:r w:rsidR="00BF0BE1">
        <w:rPr>
          <w:rFonts w:cstheme="minorHAnsi"/>
          <w:i/>
          <w:iCs/>
          <w:sz w:val="24"/>
          <w:szCs w:val="24"/>
        </w:rPr>
        <w:t>.</w:t>
      </w:r>
      <w:r w:rsidR="00996569" w:rsidRPr="00996569">
        <w:rPr>
          <w:rFonts w:cstheme="minorHAnsi"/>
          <w:i/>
          <w:iCs/>
          <w:sz w:val="24"/>
          <w:szCs w:val="24"/>
        </w:rPr>
        <w:t>N</w:t>
      </w:r>
      <w:r w:rsidR="00BF0BE1">
        <w:rPr>
          <w:rFonts w:cstheme="minorHAnsi"/>
          <w:i/>
          <w:iCs/>
          <w:sz w:val="24"/>
          <w:szCs w:val="24"/>
        </w:rPr>
        <w:t>.</w:t>
      </w:r>
      <w:r w:rsidR="00996569" w:rsidRPr="00996569">
        <w:rPr>
          <w:rFonts w:cstheme="minorHAnsi"/>
          <w:i/>
          <w:iCs/>
          <w:sz w:val="24"/>
          <w:szCs w:val="24"/>
        </w:rPr>
        <w:t>B</w:t>
      </w:r>
      <w:r w:rsidR="00BF0BE1">
        <w:rPr>
          <w:rFonts w:cstheme="minorHAnsi"/>
          <w:i/>
          <w:iCs/>
          <w:sz w:val="24"/>
          <w:szCs w:val="24"/>
        </w:rPr>
        <w:t>.</w:t>
      </w:r>
      <w:r w:rsidR="00996569" w:rsidRPr="00996569">
        <w:rPr>
          <w:rFonts w:cstheme="minorHAnsi"/>
          <w:i/>
          <w:iCs/>
          <w:sz w:val="24"/>
          <w:szCs w:val="24"/>
        </w:rPr>
        <w:t>R</w:t>
      </w:r>
      <w:r w:rsidR="00BF0BE1">
        <w:rPr>
          <w:rFonts w:cstheme="minorHAnsi"/>
          <w:i/>
          <w:iCs/>
          <w:sz w:val="24"/>
          <w:szCs w:val="24"/>
        </w:rPr>
        <w:t>.</w:t>
      </w:r>
      <w:r w:rsidR="00996569" w:rsidRPr="00996569">
        <w:rPr>
          <w:rFonts w:cstheme="minorHAnsi"/>
          <w:i/>
          <w:iCs/>
          <w:sz w:val="24"/>
          <w:szCs w:val="24"/>
        </w:rPr>
        <w:t xml:space="preserve"> prin </w:t>
      </w:r>
      <w:r w:rsidR="00996569" w:rsidRPr="00996569">
        <w:rPr>
          <w:rFonts w:ascii="Calibri" w:hAnsi="Calibri" w:cs="Calibri"/>
          <w:i/>
          <w:iCs/>
          <w:sz w:val="24"/>
          <w:szCs w:val="24"/>
        </w:rPr>
        <w:t>Hotărârea nr. 57/29 – 30 martie 2024</w:t>
      </w:r>
      <w:r w:rsidR="00BF0BE1">
        <w:rPr>
          <w:rFonts w:ascii="Calibri" w:hAnsi="Calibri" w:cs="Calibri"/>
          <w:i/>
          <w:iCs/>
          <w:sz w:val="24"/>
          <w:szCs w:val="24"/>
        </w:rPr>
        <w:t>,</w:t>
      </w:r>
      <w:r w:rsidR="00996569" w:rsidRPr="00996569">
        <w:rPr>
          <w:rFonts w:ascii="Calibri" w:hAnsi="Calibri" w:cs="Calibri"/>
          <w:i/>
          <w:iCs/>
          <w:sz w:val="24"/>
          <w:szCs w:val="24"/>
        </w:rPr>
        <w:t xml:space="preserve"> prin care au fost </w:t>
      </w:r>
      <w:r w:rsidR="00996569">
        <w:rPr>
          <w:rFonts w:ascii="Calibri" w:hAnsi="Calibri" w:cs="Calibri"/>
          <w:i/>
          <w:iCs/>
          <w:sz w:val="24"/>
          <w:szCs w:val="24"/>
        </w:rPr>
        <w:t>adoptate</w:t>
      </w:r>
      <w:r w:rsidR="00996569" w:rsidRPr="00996569">
        <w:rPr>
          <w:rFonts w:ascii="Calibri" w:hAnsi="Calibri" w:cs="Calibri"/>
          <w:i/>
          <w:iCs/>
          <w:sz w:val="24"/>
          <w:szCs w:val="24"/>
        </w:rPr>
        <w:t xml:space="preserve"> liniile directoare privind </w:t>
      </w:r>
      <w:r w:rsidR="00996569">
        <w:rPr>
          <w:rFonts w:ascii="Calibri" w:hAnsi="Calibri" w:cs="Calibri"/>
          <w:i/>
          <w:iCs/>
          <w:sz w:val="24"/>
          <w:szCs w:val="24"/>
        </w:rPr>
        <w:t>politica investițională la nivelul sistemului C.A.A.</w:t>
      </w:r>
    </w:p>
    <w:p w14:paraId="21303043" w14:textId="5280DDC9" w:rsidR="0064422D" w:rsidRPr="00996569" w:rsidRDefault="00996569" w:rsidP="00BF0BE1">
      <w:pPr>
        <w:spacing w:after="0"/>
        <w:ind w:firstLine="720"/>
        <w:jc w:val="both"/>
        <w:rPr>
          <w:rFonts w:cstheme="minorHAnsi"/>
          <w:i/>
          <w:iCs/>
          <w:sz w:val="24"/>
          <w:szCs w:val="24"/>
        </w:rPr>
      </w:pPr>
      <w:r>
        <w:rPr>
          <w:rFonts w:ascii="Calibri" w:hAnsi="Calibri" w:cs="Calibri"/>
          <w:i/>
          <w:iCs/>
          <w:sz w:val="24"/>
          <w:szCs w:val="24"/>
        </w:rPr>
        <w:t xml:space="preserve">Ținând cont de propunerea Consiliului de Administrație a C.A.A. privind legiferarea strategiei investiționale la nivelul sistemului C.A.A., propunere </w:t>
      </w:r>
      <w:r w:rsidR="00690487" w:rsidRPr="00996569">
        <w:rPr>
          <w:rFonts w:cstheme="minorHAnsi"/>
          <w:i/>
          <w:iCs/>
          <w:sz w:val="24"/>
          <w:szCs w:val="24"/>
        </w:rPr>
        <w:t>analizată în ședința Consiliului UNBR</w:t>
      </w:r>
      <w:r w:rsidR="00244DB4" w:rsidRPr="00996569">
        <w:rPr>
          <w:rFonts w:cstheme="minorHAnsi"/>
          <w:i/>
          <w:iCs/>
          <w:sz w:val="24"/>
          <w:szCs w:val="24"/>
        </w:rPr>
        <w:t>,</w:t>
      </w:r>
    </w:p>
    <w:p w14:paraId="471D66DA" w14:textId="4974892D" w:rsidR="007033F2" w:rsidRPr="00C15BD3" w:rsidRDefault="007033F2" w:rsidP="00BF0BE1">
      <w:pPr>
        <w:spacing w:after="0"/>
        <w:ind w:firstLine="720"/>
        <w:jc w:val="both"/>
        <w:rPr>
          <w:rFonts w:cstheme="minorHAnsi"/>
          <w:bCs/>
          <w:i/>
          <w:iCs/>
          <w:sz w:val="24"/>
          <w:szCs w:val="24"/>
        </w:rPr>
      </w:pPr>
      <w:r w:rsidRPr="00C15BD3">
        <w:rPr>
          <w:rFonts w:cstheme="minorHAnsi"/>
          <w:bCs/>
          <w:i/>
          <w:iCs/>
          <w:sz w:val="24"/>
          <w:szCs w:val="24"/>
        </w:rPr>
        <w:t>Consiliul UNBR,</w:t>
      </w:r>
      <w:r w:rsidR="00A01105" w:rsidRPr="00C15BD3">
        <w:rPr>
          <w:rFonts w:cstheme="minorHAnsi"/>
          <w:bCs/>
          <w:i/>
          <w:iCs/>
          <w:sz w:val="24"/>
          <w:szCs w:val="24"/>
        </w:rPr>
        <w:t xml:space="preserve"> în ședința din </w:t>
      </w:r>
      <w:r w:rsidR="00996569">
        <w:rPr>
          <w:rFonts w:cstheme="minorHAnsi"/>
          <w:bCs/>
          <w:i/>
          <w:iCs/>
          <w:sz w:val="24"/>
          <w:szCs w:val="24"/>
        </w:rPr>
        <w:t>30</w:t>
      </w:r>
      <w:r w:rsidR="00690487">
        <w:rPr>
          <w:rFonts w:cstheme="minorHAnsi"/>
          <w:bCs/>
          <w:i/>
          <w:iCs/>
          <w:sz w:val="24"/>
          <w:szCs w:val="24"/>
        </w:rPr>
        <w:t>.</w:t>
      </w:r>
      <w:r w:rsidR="00996569">
        <w:rPr>
          <w:rFonts w:cstheme="minorHAnsi"/>
          <w:bCs/>
          <w:i/>
          <w:iCs/>
          <w:sz w:val="24"/>
          <w:szCs w:val="24"/>
        </w:rPr>
        <w:t>0</w:t>
      </w:r>
      <w:r w:rsidR="009E1944">
        <w:rPr>
          <w:rFonts w:cstheme="minorHAnsi"/>
          <w:bCs/>
          <w:i/>
          <w:iCs/>
          <w:sz w:val="24"/>
          <w:szCs w:val="24"/>
        </w:rPr>
        <w:t>8</w:t>
      </w:r>
      <w:r w:rsidR="00D126D3" w:rsidRPr="00C15BD3">
        <w:rPr>
          <w:rFonts w:cstheme="minorHAnsi"/>
          <w:bCs/>
          <w:i/>
          <w:iCs/>
          <w:sz w:val="24"/>
          <w:szCs w:val="24"/>
        </w:rPr>
        <w:t>.202</w:t>
      </w:r>
      <w:r w:rsidR="00996569">
        <w:rPr>
          <w:rFonts w:cstheme="minorHAnsi"/>
          <w:bCs/>
          <w:i/>
          <w:iCs/>
          <w:sz w:val="24"/>
          <w:szCs w:val="24"/>
        </w:rPr>
        <w:t>4</w:t>
      </w:r>
      <w:r w:rsidR="00A01105" w:rsidRPr="00C15BD3">
        <w:rPr>
          <w:rFonts w:cstheme="minorHAnsi"/>
          <w:bCs/>
          <w:i/>
          <w:iCs/>
          <w:sz w:val="24"/>
          <w:szCs w:val="24"/>
        </w:rPr>
        <w:t>,</w:t>
      </w:r>
    </w:p>
    <w:p w14:paraId="6F5F0B42" w14:textId="77777777" w:rsidR="00690487" w:rsidRPr="00941258" w:rsidRDefault="00690487" w:rsidP="00BF0BE1">
      <w:pPr>
        <w:spacing w:after="0"/>
        <w:jc w:val="center"/>
        <w:rPr>
          <w:rFonts w:cstheme="minorHAnsi"/>
          <w:bCs/>
          <w:i/>
          <w:iCs/>
          <w:sz w:val="28"/>
          <w:szCs w:val="28"/>
        </w:rPr>
      </w:pPr>
    </w:p>
    <w:p w14:paraId="6392B117" w14:textId="52339BEF" w:rsidR="007033F2" w:rsidRPr="00941258" w:rsidRDefault="007033F2" w:rsidP="00BF0BE1">
      <w:pPr>
        <w:tabs>
          <w:tab w:val="left" w:pos="2921"/>
        </w:tabs>
        <w:spacing w:after="0"/>
        <w:jc w:val="center"/>
        <w:rPr>
          <w:rFonts w:cstheme="minorHAnsi"/>
          <w:b/>
          <w:sz w:val="28"/>
          <w:szCs w:val="28"/>
        </w:rPr>
      </w:pPr>
      <w:r w:rsidRPr="00941258">
        <w:rPr>
          <w:rFonts w:cstheme="minorHAnsi"/>
          <w:b/>
          <w:sz w:val="28"/>
          <w:szCs w:val="28"/>
        </w:rPr>
        <w:t>H O T Ă R Ă Ș T E :</w:t>
      </w:r>
    </w:p>
    <w:p w14:paraId="26CAD230" w14:textId="77777777" w:rsidR="00690487" w:rsidRPr="00941258" w:rsidRDefault="00690487" w:rsidP="00BF0BE1">
      <w:pPr>
        <w:keepLines/>
        <w:spacing w:after="0"/>
        <w:jc w:val="center"/>
        <w:rPr>
          <w:rFonts w:cstheme="minorHAnsi"/>
          <w:b/>
          <w:sz w:val="28"/>
          <w:szCs w:val="28"/>
        </w:rPr>
      </w:pPr>
    </w:p>
    <w:p w14:paraId="3E06FEF8" w14:textId="27312EA1" w:rsidR="00690487" w:rsidRDefault="00DD2E64" w:rsidP="00BF0BE1">
      <w:pPr>
        <w:spacing w:after="0"/>
        <w:jc w:val="both"/>
        <w:rPr>
          <w:rFonts w:cstheme="minorHAnsi"/>
          <w:bCs/>
          <w:sz w:val="24"/>
          <w:szCs w:val="24"/>
        </w:rPr>
      </w:pPr>
      <w:r w:rsidRPr="007D3308">
        <w:rPr>
          <w:rFonts w:cstheme="minorHAnsi"/>
          <w:b/>
          <w:sz w:val="24"/>
          <w:szCs w:val="24"/>
        </w:rPr>
        <w:t xml:space="preserve">Art. 1 </w:t>
      </w:r>
      <w:r w:rsidR="007D3308" w:rsidRPr="00240C5E">
        <w:rPr>
          <w:rFonts w:cstheme="minorHAnsi"/>
          <w:bCs/>
          <w:sz w:val="24"/>
          <w:szCs w:val="24"/>
        </w:rPr>
        <w:t xml:space="preserve">– </w:t>
      </w:r>
      <w:r>
        <w:rPr>
          <w:rFonts w:cstheme="minorHAnsi"/>
          <w:bCs/>
          <w:sz w:val="24"/>
          <w:szCs w:val="24"/>
        </w:rPr>
        <w:t xml:space="preserve"> </w:t>
      </w:r>
      <w:r w:rsidR="0087293B">
        <w:rPr>
          <w:rFonts w:cstheme="minorHAnsi"/>
          <w:bCs/>
          <w:sz w:val="24"/>
          <w:szCs w:val="24"/>
        </w:rPr>
        <w:t>D</w:t>
      </w:r>
      <w:r w:rsidR="0064422D">
        <w:rPr>
          <w:rFonts w:cstheme="minorHAnsi"/>
          <w:bCs/>
          <w:sz w:val="24"/>
          <w:szCs w:val="24"/>
        </w:rPr>
        <w:t xml:space="preserve">upă </w:t>
      </w:r>
      <w:r w:rsidR="009E1944">
        <w:rPr>
          <w:rFonts w:cstheme="minorHAnsi"/>
          <w:bCs/>
          <w:sz w:val="24"/>
          <w:szCs w:val="24"/>
        </w:rPr>
        <w:t xml:space="preserve">articolul </w:t>
      </w:r>
      <w:r w:rsidR="00996569">
        <w:rPr>
          <w:rFonts w:cstheme="minorHAnsi"/>
          <w:bCs/>
          <w:sz w:val="24"/>
          <w:szCs w:val="24"/>
        </w:rPr>
        <w:t>15</w:t>
      </w:r>
      <w:r w:rsidR="0064422D">
        <w:rPr>
          <w:rFonts w:cstheme="minorHAnsi"/>
          <w:bCs/>
          <w:sz w:val="24"/>
          <w:szCs w:val="24"/>
        </w:rPr>
        <w:t xml:space="preserve"> din </w:t>
      </w:r>
      <w:r w:rsidR="007D2183" w:rsidRPr="007D2183">
        <w:rPr>
          <w:rFonts w:cstheme="minorHAnsi"/>
          <w:bCs/>
          <w:sz w:val="24"/>
          <w:szCs w:val="24"/>
        </w:rPr>
        <w:t>Statutul C.A.A. adoptat prin Hotărârea Consiliului UNBR nr. 139/27.07.2016,</w:t>
      </w:r>
      <w:r w:rsidR="007D2183">
        <w:rPr>
          <w:rFonts w:cstheme="minorHAnsi"/>
          <w:bCs/>
          <w:sz w:val="24"/>
          <w:szCs w:val="24"/>
        </w:rPr>
        <w:t xml:space="preserve"> </w:t>
      </w:r>
      <w:r w:rsidR="007D2183" w:rsidRPr="007D2183">
        <w:rPr>
          <w:rFonts w:cstheme="minorHAnsi"/>
          <w:bCs/>
          <w:sz w:val="24"/>
          <w:szCs w:val="24"/>
        </w:rPr>
        <w:t xml:space="preserve">cu modificările </w:t>
      </w:r>
      <w:r w:rsidR="00617FDD" w:rsidRPr="007D2183">
        <w:rPr>
          <w:rFonts w:cstheme="minorHAnsi"/>
          <w:bCs/>
          <w:sz w:val="24"/>
          <w:szCs w:val="24"/>
        </w:rPr>
        <w:t>și</w:t>
      </w:r>
      <w:r w:rsidR="007D2183" w:rsidRPr="007D2183">
        <w:rPr>
          <w:rFonts w:cstheme="minorHAnsi"/>
          <w:bCs/>
          <w:sz w:val="24"/>
          <w:szCs w:val="24"/>
        </w:rPr>
        <w:t xml:space="preserve"> completările ulterioare</w:t>
      </w:r>
      <w:r w:rsidR="007D3308">
        <w:rPr>
          <w:rFonts w:cstheme="minorHAnsi"/>
          <w:bCs/>
          <w:sz w:val="24"/>
          <w:szCs w:val="24"/>
        </w:rPr>
        <w:t>,</w:t>
      </w:r>
      <w:r w:rsidR="007D2183" w:rsidRPr="007D2183">
        <w:rPr>
          <w:rFonts w:cstheme="minorHAnsi"/>
          <w:bCs/>
          <w:sz w:val="24"/>
          <w:szCs w:val="24"/>
        </w:rPr>
        <w:t xml:space="preserve"> </w:t>
      </w:r>
      <w:r w:rsidR="00B26A6E" w:rsidRPr="00B26A6E">
        <w:rPr>
          <w:rFonts w:cstheme="minorHAnsi"/>
          <w:bCs/>
          <w:sz w:val="24"/>
          <w:szCs w:val="24"/>
        </w:rPr>
        <w:t xml:space="preserve">se introduce un articolul nou </w:t>
      </w:r>
      <w:r w:rsidR="00996569">
        <w:rPr>
          <w:rFonts w:cstheme="minorHAnsi"/>
          <w:bCs/>
          <w:sz w:val="24"/>
          <w:szCs w:val="24"/>
        </w:rPr>
        <w:t>15</w:t>
      </w:r>
      <w:r w:rsidR="00B26A6E" w:rsidRPr="00B26A6E">
        <w:rPr>
          <w:rFonts w:cstheme="minorHAnsi"/>
          <w:bCs/>
          <w:sz w:val="24"/>
          <w:szCs w:val="24"/>
          <w:vertAlign w:val="superscript"/>
        </w:rPr>
        <w:t>1</w:t>
      </w:r>
      <w:r w:rsidR="00B26A6E" w:rsidRPr="00B26A6E">
        <w:rPr>
          <w:rFonts w:cstheme="minorHAnsi"/>
          <w:bCs/>
          <w:sz w:val="24"/>
          <w:szCs w:val="24"/>
        </w:rPr>
        <w:t xml:space="preserve"> cu următorul cuprins:</w:t>
      </w:r>
    </w:p>
    <w:p w14:paraId="286388A6" w14:textId="77777777" w:rsidR="00BF0BE1" w:rsidRDefault="00BF0BE1" w:rsidP="00BF0BE1">
      <w:pPr>
        <w:spacing w:after="0"/>
        <w:jc w:val="both"/>
        <w:rPr>
          <w:rFonts w:cstheme="minorHAnsi"/>
          <w:bCs/>
          <w:sz w:val="24"/>
          <w:szCs w:val="24"/>
        </w:rPr>
      </w:pPr>
    </w:p>
    <w:p w14:paraId="69CC8DAD" w14:textId="6FC51F28" w:rsidR="00996569" w:rsidRPr="00EB7457" w:rsidRDefault="00996569" w:rsidP="00BF0BE1">
      <w:pPr>
        <w:spacing w:after="0"/>
        <w:ind w:firstLine="567"/>
        <w:jc w:val="both"/>
        <w:rPr>
          <w:rFonts w:cstheme="minorHAnsi"/>
          <w:sz w:val="24"/>
          <w:szCs w:val="24"/>
        </w:rPr>
      </w:pPr>
      <w:r w:rsidRPr="00EB7457">
        <w:rPr>
          <w:rFonts w:cstheme="minorHAnsi"/>
          <w:b/>
          <w:bCs/>
          <w:sz w:val="24"/>
          <w:szCs w:val="24"/>
        </w:rPr>
        <w:t>Art. 15</w:t>
      </w:r>
      <w:r w:rsidRPr="00EB7457">
        <w:rPr>
          <w:rFonts w:cstheme="minorHAnsi"/>
          <w:b/>
          <w:bCs/>
          <w:sz w:val="24"/>
          <w:szCs w:val="24"/>
          <w:vertAlign w:val="superscript"/>
        </w:rPr>
        <w:t>1</w:t>
      </w:r>
      <w:r w:rsidRPr="00EB7457">
        <w:rPr>
          <w:rFonts w:cstheme="minorHAnsi"/>
          <w:sz w:val="24"/>
          <w:szCs w:val="24"/>
        </w:rPr>
        <w:t xml:space="preserve"> – (1) C.A.A. </w:t>
      </w:r>
      <w:r w:rsidR="00E04E2E">
        <w:rPr>
          <w:rFonts w:cstheme="minorHAnsi"/>
          <w:sz w:val="24"/>
          <w:szCs w:val="24"/>
        </w:rPr>
        <w:t>poate</w:t>
      </w:r>
      <w:r w:rsidRPr="00EB7457">
        <w:rPr>
          <w:rFonts w:cstheme="minorHAnsi"/>
          <w:sz w:val="24"/>
          <w:szCs w:val="24"/>
        </w:rPr>
        <w:t xml:space="preserve"> invest</w:t>
      </w:r>
      <w:r w:rsidR="00E04E2E">
        <w:rPr>
          <w:rFonts w:cstheme="minorHAnsi"/>
          <w:sz w:val="24"/>
          <w:szCs w:val="24"/>
        </w:rPr>
        <w:t>i</w:t>
      </w:r>
      <w:r w:rsidRPr="00EB7457">
        <w:rPr>
          <w:rFonts w:cstheme="minorHAnsi"/>
          <w:sz w:val="24"/>
          <w:szCs w:val="24"/>
        </w:rPr>
        <w:t xml:space="preserve"> disponibilitățile fondului de rezervă</w:t>
      </w:r>
      <w:r>
        <w:rPr>
          <w:rFonts w:cstheme="minorHAnsi"/>
          <w:sz w:val="24"/>
          <w:szCs w:val="24"/>
        </w:rPr>
        <w:t xml:space="preserve"> și ale fondului de funcționare</w:t>
      </w:r>
      <w:r w:rsidRPr="00EB7457">
        <w:rPr>
          <w:rFonts w:cstheme="minorHAnsi"/>
          <w:sz w:val="24"/>
          <w:szCs w:val="24"/>
        </w:rPr>
        <w:t xml:space="preserve"> în:</w:t>
      </w:r>
    </w:p>
    <w:p w14:paraId="67642586" w14:textId="77777777" w:rsidR="00996569" w:rsidRPr="00EB7457" w:rsidRDefault="00996569" w:rsidP="00BF0BE1">
      <w:pPr>
        <w:pStyle w:val="ListParagraph"/>
        <w:numPr>
          <w:ilvl w:val="0"/>
          <w:numId w:val="5"/>
        </w:numPr>
        <w:spacing w:line="276" w:lineRule="auto"/>
        <w:ind w:left="1560"/>
        <w:jc w:val="both"/>
        <w:rPr>
          <w:rFonts w:asciiTheme="minorHAnsi" w:hAnsiTheme="minorHAnsi" w:cstheme="minorHAnsi"/>
        </w:rPr>
      </w:pPr>
      <w:r w:rsidRPr="00EB7457">
        <w:rPr>
          <w:rFonts w:asciiTheme="minorHAnsi" w:hAnsiTheme="minorHAnsi" w:cstheme="minorHAnsi"/>
        </w:rPr>
        <w:t>Titluri de stat emise de Ministerul Economiei și Finanțelor din România sau de state membre ale Uniunii Europene, în procent de cel puțin 70% și cel mult 90% din valoarea fondului;</w:t>
      </w:r>
    </w:p>
    <w:p w14:paraId="0800734E" w14:textId="77777777" w:rsidR="00996569" w:rsidRPr="00EB7457" w:rsidRDefault="00996569" w:rsidP="00BF0BE1">
      <w:pPr>
        <w:pStyle w:val="ListParagraph"/>
        <w:numPr>
          <w:ilvl w:val="0"/>
          <w:numId w:val="5"/>
        </w:numPr>
        <w:spacing w:line="276" w:lineRule="auto"/>
        <w:ind w:left="1560"/>
        <w:jc w:val="both"/>
        <w:rPr>
          <w:rFonts w:asciiTheme="minorHAnsi" w:hAnsiTheme="minorHAnsi" w:cstheme="minorHAnsi"/>
        </w:rPr>
      </w:pPr>
      <w:r w:rsidRPr="00EB7457">
        <w:rPr>
          <w:rFonts w:asciiTheme="minorHAnsi" w:hAnsiTheme="minorHAnsi" w:cstheme="minorHAnsi"/>
        </w:rPr>
        <w:t>Titluri de stat și alte valori mobiliare, emise de state terțe, în procent de până la 10% din valoarea fondului;</w:t>
      </w:r>
    </w:p>
    <w:p w14:paraId="145420D9" w14:textId="77777777" w:rsidR="00996569" w:rsidRPr="00EB7457" w:rsidRDefault="00996569" w:rsidP="00BF0BE1">
      <w:pPr>
        <w:pStyle w:val="ListParagraph"/>
        <w:numPr>
          <w:ilvl w:val="0"/>
          <w:numId w:val="5"/>
        </w:numPr>
        <w:spacing w:line="276" w:lineRule="auto"/>
        <w:ind w:left="1560"/>
        <w:jc w:val="both"/>
        <w:rPr>
          <w:rFonts w:asciiTheme="minorHAnsi" w:hAnsiTheme="minorHAnsi" w:cstheme="minorHAnsi"/>
        </w:rPr>
      </w:pPr>
      <w:r w:rsidRPr="00EB7457">
        <w:rPr>
          <w:rFonts w:asciiTheme="minorHAnsi" w:hAnsiTheme="minorHAnsi" w:cstheme="minorHAnsi"/>
        </w:rPr>
        <w:t xml:space="preserve">Instrumente ale pieței monetare, inclusiv conturi </w:t>
      </w:r>
      <w:proofErr w:type="spellStart"/>
      <w:r w:rsidRPr="00EB7457">
        <w:rPr>
          <w:rFonts w:asciiTheme="minorHAnsi" w:hAnsiTheme="minorHAnsi" w:cstheme="minorHAnsi"/>
        </w:rPr>
        <w:t>şi</w:t>
      </w:r>
      <w:proofErr w:type="spellEnd"/>
      <w:r w:rsidRPr="00EB7457">
        <w:rPr>
          <w:rFonts w:asciiTheme="minorHAnsi" w:hAnsiTheme="minorHAnsi" w:cstheme="minorHAnsi"/>
        </w:rPr>
        <w:t xml:space="preserve"> depozite în lei la bănci sau instituții de credit străine autorizate să funcționeze pe teritoriul României </w:t>
      </w:r>
      <w:proofErr w:type="spellStart"/>
      <w:r w:rsidRPr="00EB7457">
        <w:rPr>
          <w:rFonts w:asciiTheme="minorHAnsi" w:hAnsiTheme="minorHAnsi" w:cstheme="minorHAnsi"/>
        </w:rPr>
        <w:t>şi</w:t>
      </w:r>
      <w:proofErr w:type="spellEnd"/>
      <w:r w:rsidRPr="00EB7457">
        <w:rPr>
          <w:rFonts w:asciiTheme="minorHAnsi" w:hAnsiTheme="minorHAnsi" w:cstheme="minorHAnsi"/>
        </w:rPr>
        <w:t xml:space="preserve"> care </w:t>
      </w:r>
      <w:r w:rsidRPr="00EB7457">
        <w:rPr>
          <w:rFonts w:asciiTheme="minorHAnsi" w:hAnsiTheme="minorHAnsi" w:cstheme="minorHAnsi"/>
        </w:rPr>
        <w:lastRenderedPageBreak/>
        <w:t>nu se află în procedura de supraveghere specială ori de administrare specială sau a cărei autorizație nu este retrasă  în procent de până la 20% din valoarea fondului, respectiv:</w:t>
      </w:r>
    </w:p>
    <w:p w14:paraId="7A7CF06E" w14:textId="77777777" w:rsidR="00996569" w:rsidRPr="00EB7457" w:rsidRDefault="00996569" w:rsidP="00BF0BE1">
      <w:pPr>
        <w:pStyle w:val="ListParagraph"/>
        <w:numPr>
          <w:ilvl w:val="1"/>
          <w:numId w:val="5"/>
        </w:numPr>
        <w:spacing w:line="276" w:lineRule="auto"/>
        <w:ind w:left="2552"/>
        <w:jc w:val="both"/>
        <w:rPr>
          <w:rFonts w:asciiTheme="minorHAnsi" w:hAnsiTheme="minorHAnsi" w:cstheme="minorHAnsi"/>
        </w:rPr>
      </w:pPr>
      <w:r w:rsidRPr="00EB7457">
        <w:rPr>
          <w:rFonts w:asciiTheme="minorHAnsi" w:hAnsiTheme="minorHAnsi" w:cstheme="minorHAnsi"/>
        </w:rPr>
        <w:t>conturi curente în lei sau în valută liber convertibilă la bănci în procent de până la 10% din valoarea fondului;</w:t>
      </w:r>
    </w:p>
    <w:p w14:paraId="2620B6BB" w14:textId="77777777" w:rsidR="00996569" w:rsidRPr="00EB7457" w:rsidRDefault="00996569" w:rsidP="00BF0BE1">
      <w:pPr>
        <w:pStyle w:val="ListParagraph"/>
        <w:numPr>
          <w:ilvl w:val="1"/>
          <w:numId w:val="5"/>
        </w:numPr>
        <w:spacing w:line="276" w:lineRule="auto"/>
        <w:ind w:left="2552"/>
        <w:jc w:val="both"/>
        <w:rPr>
          <w:rFonts w:asciiTheme="minorHAnsi" w:hAnsiTheme="minorHAnsi" w:cstheme="minorHAnsi"/>
        </w:rPr>
      </w:pPr>
      <w:r w:rsidRPr="00EB7457">
        <w:rPr>
          <w:rFonts w:asciiTheme="minorHAnsi" w:hAnsiTheme="minorHAnsi" w:cstheme="minorHAnsi"/>
        </w:rPr>
        <w:t>depozite în lei sau în valută liber convertibilă la bănci în procent de până la 20% din valoarea fondului;</w:t>
      </w:r>
    </w:p>
    <w:p w14:paraId="500EE6B2" w14:textId="77777777" w:rsidR="00996569" w:rsidRPr="00EB7457" w:rsidRDefault="00996569" w:rsidP="00BF0BE1">
      <w:pPr>
        <w:pStyle w:val="ListParagraph"/>
        <w:numPr>
          <w:ilvl w:val="0"/>
          <w:numId w:val="5"/>
        </w:numPr>
        <w:spacing w:line="276" w:lineRule="auto"/>
        <w:ind w:left="1560"/>
        <w:jc w:val="both"/>
        <w:rPr>
          <w:rFonts w:asciiTheme="minorHAnsi" w:hAnsiTheme="minorHAnsi" w:cstheme="minorHAnsi"/>
        </w:rPr>
      </w:pPr>
      <w:r w:rsidRPr="00EB7457">
        <w:rPr>
          <w:rFonts w:asciiTheme="minorHAnsi" w:hAnsiTheme="minorHAnsi" w:cstheme="minorHAnsi"/>
        </w:rPr>
        <w:t>Valori mobiliare (acțiuni) tranzacționate pe piețe reglementate și supravegheate din România sau statele membre ale Uniunii Europene, în procent de până la 5% din valoarea fondului;</w:t>
      </w:r>
    </w:p>
    <w:p w14:paraId="66B50E6F" w14:textId="77777777" w:rsidR="00996569" w:rsidRPr="00EB7457" w:rsidRDefault="00996569" w:rsidP="00BF0BE1">
      <w:pPr>
        <w:pStyle w:val="ListParagraph"/>
        <w:numPr>
          <w:ilvl w:val="0"/>
          <w:numId w:val="5"/>
        </w:numPr>
        <w:spacing w:line="276" w:lineRule="auto"/>
        <w:ind w:left="1560"/>
        <w:jc w:val="both"/>
        <w:rPr>
          <w:rFonts w:asciiTheme="minorHAnsi" w:hAnsiTheme="minorHAnsi" w:cstheme="minorHAnsi"/>
        </w:rPr>
      </w:pPr>
      <w:r w:rsidRPr="00EB7457">
        <w:rPr>
          <w:rFonts w:asciiTheme="minorHAnsi" w:hAnsiTheme="minorHAnsi" w:cstheme="minorHAnsi"/>
        </w:rPr>
        <w:t>Titluri la fonduri deschise de investiții care investesc în valori mobiliare cotate la bursă în procent de până la 10 % din valoarea fondului;</w:t>
      </w:r>
    </w:p>
    <w:p w14:paraId="4AF79503" w14:textId="77777777" w:rsidR="00996569" w:rsidRPr="00EB7457" w:rsidRDefault="00996569" w:rsidP="00BF0BE1">
      <w:pPr>
        <w:pStyle w:val="ListParagraph"/>
        <w:numPr>
          <w:ilvl w:val="0"/>
          <w:numId w:val="5"/>
        </w:numPr>
        <w:spacing w:line="276" w:lineRule="auto"/>
        <w:ind w:left="1560"/>
        <w:jc w:val="both"/>
        <w:rPr>
          <w:rFonts w:asciiTheme="minorHAnsi" w:hAnsiTheme="minorHAnsi" w:cstheme="minorHAnsi"/>
        </w:rPr>
      </w:pPr>
      <w:r w:rsidRPr="00EB7457">
        <w:rPr>
          <w:rFonts w:asciiTheme="minorHAnsi" w:hAnsiTheme="minorHAnsi" w:cstheme="minorHAnsi"/>
        </w:rPr>
        <w:t>Activități economice în procent de până la 10 % din valoarea fondului;</w:t>
      </w:r>
    </w:p>
    <w:p w14:paraId="171C6205" w14:textId="77777777" w:rsidR="00996569" w:rsidRPr="00EB7457" w:rsidRDefault="00996569" w:rsidP="00BF0BE1">
      <w:pPr>
        <w:pStyle w:val="ListParagraph"/>
        <w:numPr>
          <w:ilvl w:val="0"/>
          <w:numId w:val="5"/>
        </w:numPr>
        <w:spacing w:line="276" w:lineRule="auto"/>
        <w:ind w:left="1560"/>
        <w:jc w:val="both"/>
        <w:rPr>
          <w:rFonts w:asciiTheme="minorHAnsi" w:hAnsiTheme="minorHAnsi" w:cstheme="minorHAnsi"/>
        </w:rPr>
      </w:pPr>
      <w:r w:rsidRPr="00EB7457">
        <w:rPr>
          <w:rFonts w:asciiTheme="minorHAnsi" w:hAnsiTheme="minorHAnsi" w:cstheme="minorHAnsi"/>
        </w:rPr>
        <w:t>Alte forme de investiții în procent de până la 5 % din valoarea fondului.</w:t>
      </w:r>
    </w:p>
    <w:p w14:paraId="380DF85A" w14:textId="77777777" w:rsidR="00BF0BE1" w:rsidRDefault="00BF0BE1" w:rsidP="00BF0BE1">
      <w:pPr>
        <w:spacing w:after="0"/>
        <w:ind w:left="567"/>
        <w:jc w:val="both"/>
        <w:rPr>
          <w:rFonts w:cstheme="minorHAnsi"/>
          <w:sz w:val="24"/>
          <w:szCs w:val="24"/>
        </w:rPr>
      </w:pPr>
    </w:p>
    <w:p w14:paraId="36E909B2" w14:textId="0D7E0EE4" w:rsidR="00996569" w:rsidRPr="00EB7457" w:rsidRDefault="00996569" w:rsidP="00BF0BE1">
      <w:pPr>
        <w:spacing w:after="0"/>
        <w:ind w:left="567"/>
        <w:jc w:val="both"/>
        <w:rPr>
          <w:rFonts w:cstheme="minorHAnsi"/>
          <w:sz w:val="24"/>
          <w:szCs w:val="24"/>
        </w:rPr>
      </w:pPr>
      <w:r w:rsidRPr="00EB7457">
        <w:rPr>
          <w:rFonts w:cstheme="minorHAnsi"/>
          <w:sz w:val="24"/>
          <w:szCs w:val="24"/>
        </w:rPr>
        <w:t>(2) Filialele C.A.A. care au excedent anual la fondul de pensii</w:t>
      </w:r>
      <w:r w:rsidR="00E04E2E">
        <w:rPr>
          <w:rFonts w:cstheme="minorHAnsi"/>
          <w:sz w:val="24"/>
          <w:szCs w:val="24"/>
        </w:rPr>
        <w:t xml:space="preserve"> pot</w:t>
      </w:r>
      <w:r w:rsidRPr="00EB7457">
        <w:rPr>
          <w:rFonts w:cstheme="minorHAnsi"/>
          <w:sz w:val="24"/>
          <w:szCs w:val="24"/>
        </w:rPr>
        <w:t xml:space="preserve"> invest</w:t>
      </w:r>
      <w:r w:rsidR="00E04E2E">
        <w:rPr>
          <w:rFonts w:cstheme="minorHAnsi"/>
          <w:sz w:val="24"/>
          <w:szCs w:val="24"/>
        </w:rPr>
        <w:t xml:space="preserve">i </w:t>
      </w:r>
      <w:r w:rsidRPr="00EB7457">
        <w:rPr>
          <w:rFonts w:cstheme="minorHAnsi"/>
          <w:sz w:val="24"/>
          <w:szCs w:val="24"/>
        </w:rPr>
        <w:t>disponibilitățile fondului de pensii în:</w:t>
      </w:r>
    </w:p>
    <w:p w14:paraId="2525CE21" w14:textId="77777777" w:rsidR="00996569" w:rsidRPr="00EB7457" w:rsidRDefault="00996569" w:rsidP="00BF0BE1">
      <w:pPr>
        <w:pStyle w:val="ListParagraph"/>
        <w:numPr>
          <w:ilvl w:val="0"/>
          <w:numId w:val="6"/>
        </w:numPr>
        <w:spacing w:line="276" w:lineRule="auto"/>
        <w:ind w:left="1560"/>
        <w:jc w:val="both"/>
        <w:rPr>
          <w:rFonts w:asciiTheme="minorHAnsi" w:hAnsiTheme="minorHAnsi" w:cstheme="minorHAnsi"/>
        </w:rPr>
      </w:pPr>
      <w:r w:rsidRPr="00EB7457">
        <w:rPr>
          <w:rFonts w:asciiTheme="minorHAnsi" w:hAnsiTheme="minorHAnsi" w:cstheme="minorHAnsi"/>
        </w:rPr>
        <w:t>Titluri de stat și obligațiuni emise</w:t>
      </w:r>
      <w:r>
        <w:rPr>
          <w:rFonts w:asciiTheme="minorHAnsi" w:hAnsiTheme="minorHAnsi" w:cstheme="minorHAnsi"/>
        </w:rPr>
        <w:t xml:space="preserve"> de</w:t>
      </w:r>
      <w:r w:rsidRPr="00EB7457">
        <w:rPr>
          <w:rFonts w:asciiTheme="minorHAnsi" w:hAnsiTheme="minorHAnsi" w:cstheme="minorHAnsi"/>
        </w:rPr>
        <w:t xml:space="preserve"> Ministerul Economiei și Finanțelor din România sau de state membre ale Uniunii Europene, în procent de cel puțin  70% și cel mult 90% din valoarea fondului;</w:t>
      </w:r>
    </w:p>
    <w:p w14:paraId="36618102" w14:textId="77777777" w:rsidR="00996569" w:rsidRPr="00EB7457" w:rsidRDefault="00996569" w:rsidP="00BF0BE1">
      <w:pPr>
        <w:pStyle w:val="ListParagraph"/>
        <w:numPr>
          <w:ilvl w:val="0"/>
          <w:numId w:val="6"/>
        </w:numPr>
        <w:spacing w:line="276" w:lineRule="auto"/>
        <w:ind w:left="1560"/>
        <w:jc w:val="both"/>
        <w:rPr>
          <w:rFonts w:asciiTheme="minorHAnsi" w:hAnsiTheme="minorHAnsi" w:cstheme="minorHAnsi"/>
        </w:rPr>
      </w:pPr>
      <w:bookmarkStart w:id="1" w:name="_Hlk172550191"/>
      <w:r w:rsidRPr="00EB7457">
        <w:rPr>
          <w:rFonts w:asciiTheme="minorHAnsi" w:hAnsiTheme="minorHAnsi" w:cstheme="minorHAnsi"/>
        </w:rPr>
        <w:t>Titluri de stat și alte valori mobiliare, emise de state terțe, în procent de până la 10% din valoarea fondului;</w:t>
      </w:r>
    </w:p>
    <w:bookmarkEnd w:id="1"/>
    <w:p w14:paraId="559F0C55" w14:textId="77777777" w:rsidR="00996569" w:rsidRPr="00EB7457" w:rsidRDefault="00996569" w:rsidP="00BF0BE1">
      <w:pPr>
        <w:pStyle w:val="ListParagraph"/>
        <w:numPr>
          <w:ilvl w:val="0"/>
          <w:numId w:val="6"/>
        </w:numPr>
        <w:spacing w:line="276" w:lineRule="auto"/>
        <w:ind w:left="1560"/>
        <w:jc w:val="both"/>
        <w:rPr>
          <w:rFonts w:asciiTheme="minorHAnsi" w:hAnsiTheme="minorHAnsi" w:cstheme="minorHAnsi"/>
        </w:rPr>
      </w:pPr>
      <w:r w:rsidRPr="00EB7457">
        <w:rPr>
          <w:rFonts w:asciiTheme="minorHAnsi" w:hAnsiTheme="minorHAnsi" w:cstheme="minorHAnsi"/>
        </w:rPr>
        <w:t xml:space="preserve">Instrumente ale pieței monetare, inclusiv conturi </w:t>
      </w:r>
      <w:proofErr w:type="spellStart"/>
      <w:r w:rsidRPr="00EB7457">
        <w:rPr>
          <w:rFonts w:asciiTheme="minorHAnsi" w:hAnsiTheme="minorHAnsi" w:cstheme="minorHAnsi"/>
        </w:rPr>
        <w:t>şi</w:t>
      </w:r>
      <w:proofErr w:type="spellEnd"/>
      <w:r w:rsidRPr="00EB7457">
        <w:rPr>
          <w:rFonts w:asciiTheme="minorHAnsi" w:hAnsiTheme="minorHAnsi" w:cstheme="minorHAnsi"/>
        </w:rPr>
        <w:t xml:space="preserve"> depozite în lei la bănci sau instituții de credit străine autorizate să funcționeze pe teritoriul României </w:t>
      </w:r>
      <w:proofErr w:type="spellStart"/>
      <w:r w:rsidRPr="00EB7457">
        <w:rPr>
          <w:rFonts w:asciiTheme="minorHAnsi" w:hAnsiTheme="minorHAnsi" w:cstheme="minorHAnsi"/>
        </w:rPr>
        <w:t>şi</w:t>
      </w:r>
      <w:proofErr w:type="spellEnd"/>
      <w:r w:rsidRPr="00EB7457">
        <w:rPr>
          <w:rFonts w:asciiTheme="minorHAnsi" w:hAnsiTheme="minorHAnsi" w:cstheme="minorHAnsi"/>
        </w:rPr>
        <w:t xml:space="preserve"> care nu se află în procedura de supraveghere specială ori de administrare specială sau a cărei autorizație nu este retrasă  în procent de până la 20% din valoarea fondului, respectiv:</w:t>
      </w:r>
    </w:p>
    <w:p w14:paraId="51A8F437" w14:textId="77777777" w:rsidR="00996569" w:rsidRPr="00EB7457" w:rsidRDefault="00996569" w:rsidP="00BF0BE1">
      <w:pPr>
        <w:pStyle w:val="ListParagraph"/>
        <w:numPr>
          <w:ilvl w:val="1"/>
          <w:numId w:val="6"/>
        </w:numPr>
        <w:spacing w:line="276" w:lineRule="auto"/>
        <w:ind w:left="2552"/>
        <w:jc w:val="both"/>
        <w:rPr>
          <w:rFonts w:asciiTheme="minorHAnsi" w:hAnsiTheme="minorHAnsi" w:cstheme="minorHAnsi"/>
        </w:rPr>
      </w:pPr>
      <w:r w:rsidRPr="00EB7457">
        <w:rPr>
          <w:rFonts w:asciiTheme="minorHAnsi" w:hAnsiTheme="minorHAnsi" w:cstheme="minorHAnsi"/>
        </w:rPr>
        <w:t>conturi curente în lei sau în valută liber convertibilă la bănci în procent de până la 10% din valoarea fondului</w:t>
      </w:r>
      <w:r>
        <w:rPr>
          <w:rFonts w:asciiTheme="minorHAnsi" w:hAnsiTheme="minorHAnsi" w:cstheme="minorHAnsi"/>
        </w:rPr>
        <w:t>;</w:t>
      </w:r>
    </w:p>
    <w:p w14:paraId="59ADCBEE" w14:textId="77777777" w:rsidR="00996569" w:rsidRPr="00EB7457" w:rsidRDefault="00996569" w:rsidP="00BF0BE1">
      <w:pPr>
        <w:pStyle w:val="ListParagraph"/>
        <w:numPr>
          <w:ilvl w:val="1"/>
          <w:numId w:val="6"/>
        </w:numPr>
        <w:spacing w:line="276" w:lineRule="auto"/>
        <w:ind w:left="2552"/>
        <w:jc w:val="both"/>
        <w:rPr>
          <w:rFonts w:asciiTheme="minorHAnsi" w:hAnsiTheme="minorHAnsi" w:cstheme="minorHAnsi"/>
        </w:rPr>
      </w:pPr>
      <w:r w:rsidRPr="00EB7457">
        <w:rPr>
          <w:rFonts w:asciiTheme="minorHAnsi" w:hAnsiTheme="minorHAnsi" w:cstheme="minorHAnsi"/>
        </w:rPr>
        <w:t>depozite în lei sau în valută liber convertibilă la bănci în procent de până la 20% din valoarea fondului</w:t>
      </w:r>
      <w:r>
        <w:rPr>
          <w:rFonts w:asciiTheme="minorHAnsi" w:hAnsiTheme="minorHAnsi" w:cstheme="minorHAnsi"/>
        </w:rPr>
        <w:t>;</w:t>
      </w:r>
    </w:p>
    <w:p w14:paraId="7B753D27" w14:textId="77777777" w:rsidR="00996569" w:rsidRPr="00EB7457" w:rsidRDefault="00996569" w:rsidP="00BF0BE1">
      <w:pPr>
        <w:pStyle w:val="ListParagraph"/>
        <w:numPr>
          <w:ilvl w:val="0"/>
          <w:numId w:val="6"/>
        </w:numPr>
        <w:spacing w:line="276" w:lineRule="auto"/>
        <w:ind w:left="1560"/>
        <w:jc w:val="both"/>
        <w:rPr>
          <w:rFonts w:asciiTheme="minorHAnsi" w:hAnsiTheme="minorHAnsi" w:cstheme="minorHAnsi"/>
        </w:rPr>
      </w:pPr>
      <w:r w:rsidRPr="00EB7457">
        <w:rPr>
          <w:rFonts w:asciiTheme="minorHAnsi" w:hAnsiTheme="minorHAnsi" w:cstheme="minorHAnsi"/>
        </w:rPr>
        <w:t>Valori mobiliare (acțiuni)  tranzacționate pe piețe reglementate și supravegheate din România sau statele membre ale Uniunii Europene, în procent de până la 5% din valoarea fondului;</w:t>
      </w:r>
    </w:p>
    <w:p w14:paraId="5BB7FD3F" w14:textId="77777777" w:rsidR="00996569" w:rsidRPr="00EB7457" w:rsidRDefault="00996569" w:rsidP="00BF0BE1">
      <w:pPr>
        <w:pStyle w:val="ListParagraph"/>
        <w:numPr>
          <w:ilvl w:val="0"/>
          <w:numId w:val="6"/>
        </w:numPr>
        <w:spacing w:line="276" w:lineRule="auto"/>
        <w:ind w:left="1560"/>
        <w:jc w:val="both"/>
        <w:rPr>
          <w:rFonts w:asciiTheme="minorHAnsi" w:hAnsiTheme="minorHAnsi" w:cstheme="minorHAnsi"/>
        </w:rPr>
      </w:pPr>
      <w:r w:rsidRPr="00EB7457">
        <w:rPr>
          <w:rFonts w:asciiTheme="minorHAnsi" w:hAnsiTheme="minorHAnsi" w:cstheme="minorHAnsi"/>
        </w:rPr>
        <w:t>Titluri la fonduri deschise de investiții care investesc în valori mobiliare cotate la bursă în procent de până la 10 % din valoarea fondului;</w:t>
      </w:r>
    </w:p>
    <w:p w14:paraId="3C7B524C" w14:textId="77777777" w:rsidR="00996569" w:rsidRPr="00EB7457" w:rsidRDefault="00996569" w:rsidP="00BF0BE1">
      <w:pPr>
        <w:pStyle w:val="ListParagraph"/>
        <w:numPr>
          <w:ilvl w:val="0"/>
          <w:numId w:val="6"/>
        </w:numPr>
        <w:spacing w:line="276" w:lineRule="auto"/>
        <w:ind w:left="1560"/>
        <w:jc w:val="both"/>
        <w:rPr>
          <w:rFonts w:asciiTheme="minorHAnsi" w:hAnsiTheme="minorHAnsi" w:cstheme="minorHAnsi"/>
        </w:rPr>
      </w:pPr>
      <w:r w:rsidRPr="00EB7457">
        <w:rPr>
          <w:rFonts w:asciiTheme="minorHAnsi" w:hAnsiTheme="minorHAnsi" w:cstheme="minorHAnsi"/>
        </w:rPr>
        <w:t>Activități economice în procent de până la 5 % din valoarea fondului;</w:t>
      </w:r>
    </w:p>
    <w:p w14:paraId="6211037A" w14:textId="77777777" w:rsidR="00996569" w:rsidRPr="00EB7457" w:rsidRDefault="00996569" w:rsidP="00BF0BE1">
      <w:pPr>
        <w:pStyle w:val="ListParagraph"/>
        <w:numPr>
          <w:ilvl w:val="0"/>
          <w:numId w:val="6"/>
        </w:numPr>
        <w:spacing w:line="276" w:lineRule="auto"/>
        <w:ind w:left="1560"/>
        <w:jc w:val="both"/>
        <w:rPr>
          <w:rFonts w:asciiTheme="minorHAnsi" w:hAnsiTheme="minorHAnsi" w:cstheme="minorHAnsi"/>
        </w:rPr>
      </w:pPr>
      <w:r w:rsidRPr="00EB7457">
        <w:rPr>
          <w:rFonts w:asciiTheme="minorHAnsi" w:hAnsiTheme="minorHAnsi" w:cstheme="minorHAnsi"/>
        </w:rPr>
        <w:t>Alte forme de investiții în procent de până la 5 % din valoarea fondului.</w:t>
      </w:r>
    </w:p>
    <w:p w14:paraId="35334A36" w14:textId="77777777" w:rsidR="00BF0BE1" w:rsidRDefault="00BF0BE1" w:rsidP="00BF0BE1">
      <w:pPr>
        <w:spacing w:after="0"/>
        <w:ind w:left="567"/>
        <w:jc w:val="both"/>
        <w:rPr>
          <w:rFonts w:cstheme="minorHAnsi"/>
          <w:sz w:val="24"/>
          <w:szCs w:val="24"/>
        </w:rPr>
      </w:pPr>
    </w:p>
    <w:p w14:paraId="41BF3F4E" w14:textId="0AFD5F07" w:rsidR="00996569" w:rsidRPr="00EB7457" w:rsidRDefault="00996569" w:rsidP="00BF0BE1">
      <w:pPr>
        <w:spacing w:after="0"/>
        <w:ind w:left="567"/>
        <w:jc w:val="both"/>
        <w:rPr>
          <w:rFonts w:cstheme="minorHAnsi"/>
          <w:sz w:val="24"/>
          <w:szCs w:val="24"/>
        </w:rPr>
      </w:pPr>
      <w:r w:rsidRPr="00EB7457">
        <w:rPr>
          <w:rFonts w:cstheme="minorHAnsi"/>
          <w:sz w:val="24"/>
          <w:szCs w:val="24"/>
        </w:rPr>
        <w:t xml:space="preserve">(3) Filialele C.A.A. care nu au excedent anual la fondul de pensii </w:t>
      </w:r>
      <w:r w:rsidR="00E04E2E">
        <w:rPr>
          <w:rFonts w:cstheme="minorHAnsi"/>
          <w:sz w:val="24"/>
          <w:szCs w:val="24"/>
        </w:rPr>
        <w:t xml:space="preserve">pot </w:t>
      </w:r>
      <w:r w:rsidRPr="00EB7457">
        <w:rPr>
          <w:rFonts w:cstheme="minorHAnsi"/>
          <w:sz w:val="24"/>
          <w:szCs w:val="24"/>
        </w:rPr>
        <w:t>invest</w:t>
      </w:r>
      <w:r w:rsidR="00E04E2E">
        <w:rPr>
          <w:rFonts w:cstheme="minorHAnsi"/>
          <w:sz w:val="24"/>
          <w:szCs w:val="24"/>
        </w:rPr>
        <w:t>i</w:t>
      </w:r>
      <w:r w:rsidRPr="00EB7457">
        <w:rPr>
          <w:rFonts w:cstheme="minorHAnsi"/>
          <w:sz w:val="24"/>
          <w:szCs w:val="24"/>
        </w:rPr>
        <w:t xml:space="preserve"> disponibilitățile fondului de pensii în:</w:t>
      </w:r>
    </w:p>
    <w:p w14:paraId="60EC60F6" w14:textId="77777777" w:rsidR="00996569" w:rsidRPr="00EB7457" w:rsidRDefault="00996569" w:rsidP="00BF0BE1">
      <w:pPr>
        <w:pStyle w:val="ListParagraph"/>
        <w:numPr>
          <w:ilvl w:val="0"/>
          <w:numId w:val="7"/>
        </w:numPr>
        <w:spacing w:line="276" w:lineRule="auto"/>
        <w:ind w:left="1560"/>
        <w:jc w:val="both"/>
        <w:rPr>
          <w:rFonts w:asciiTheme="minorHAnsi" w:hAnsiTheme="minorHAnsi" w:cstheme="minorHAnsi"/>
        </w:rPr>
      </w:pPr>
      <w:r w:rsidRPr="00EB7457">
        <w:rPr>
          <w:rFonts w:asciiTheme="minorHAnsi" w:hAnsiTheme="minorHAnsi" w:cstheme="minorHAnsi"/>
        </w:rPr>
        <w:t>Titluri de stat și obligațiuni emise</w:t>
      </w:r>
      <w:r>
        <w:rPr>
          <w:rFonts w:asciiTheme="minorHAnsi" w:hAnsiTheme="minorHAnsi" w:cstheme="minorHAnsi"/>
        </w:rPr>
        <w:t xml:space="preserve"> de</w:t>
      </w:r>
      <w:r w:rsidRPr="00EB7457">
        <w:rPr>
          <w:rFonts w:asciiTheme="minorHAnsi" w:hAnsiTheme="minorHAnsi" w:cstheme="minorHAnsi"/>
        </w:rPr>
        <w:t xml:space="preserve"> Ministerul Economiei și Finanțelor din România sau de state membre ale Uniunii Europene, în procent </w:t>
      </w:r>
      <w:r>
        <w:rPr>
          <w:rFonts w:asciiTheme="minorHAnsi" w:hAnsiTheme="minorHAnsi" w:cstheme="minorHAnsi"/>
        </w:rPr>
        <w:t xml:space="preserve">de </w:t>
      </w:r>
      <w:r w:rsidRPr="00EB7457">
        <w:rPr>
          <w:rFonts w:asciiTheme="minorHAnsi" w:hAnsiTheme="minorHAnsi" w:cstheme="minorHAnsi"/>
        </w:rPr>
        <w:t>cel mult 70% din valoarea fondului;</w:t>
      </w:r>
    </w:p>
    <w:p w14:paraId="67509E19" w14:textId="77777777" w:rsidR="00996569" w:rsidRPr="00EB7457" w:rsidRDefault="00996569" w:rsidP="00BF0BE1">
      <w:pPr>
        <w:pStyle w:val="ListParagraph"/>
        <w:numPr>
          <w:ilvl w:val="0"/>
          <w:numId w:val="7"/>
        </w:numPr>
        <w:spacing w:line="276" w:lineRule="auto"/>
        <w:ind w:left="1560"/>
        <w:jc w:val="both"/>
        <w:rPr>
          <w:rFonts w:asciiTheme="minorHAnsi" w:hAnsiTheme="minorHAnsi" w:cstheme="minorHAnsi"/>
        </w:rPr>
      </w:pPr>
      <w:r w:rsidRPr="00EB7457">
        <w:rPr>
          <w:rFonts w:asciiTheme="minorHAnsi" w:hAnsiTheme="minorHAnsi" w:cstheme="minorHAnsi"/>
        </w:rPr>
        <w:lastRenderedPageBreak/>
        <w:t xml:space="preserve">Instrumente ale pieței monetare, inclusiv conturi </w:t>
      </w:r>
      <w:proofErr w:type="spellStart"/>
      <w:r w:rsidRPr="00EB7457">
        <w:rPr>
          <w:rFonts w:asciiTheme="minorHAnsi" w:hAnsiTheme="minorHAnsi" w:cstheme="minorHAnsi"/>
        </w:rPr>
        <w:t>şi</w:t>
      </w:r>
      <w:proofErr w:type="spellEnd"/>
      <w:r w:rsidRPr="00EB7457">
        <w:rPr>
          <w:rFonts w:asciiTheme="minorHAnsi" w:hAnsiTheme="minorHAnsi" w:cstheme="minorHAnsi"/>
        </w:rPr>
        <w:t xml:space="preserve"> depozite în lei la bănci sau instituții de credit străine autorizate să funcționeze pe teritoriul României </w:t>
      </w:r>
      <w:proofErr w:type="spellStart"/>
      <w:r w:rsidRPr="00EB7457">
        <w:rPr>
          <w:rFonts w:asciiTheme="minorHAnsi" w:hAnsiTheme="minorHAnsi" w:cstheme="minorHAnsi"/>
        </w:rPr>
        <w:t>şi</w:t>
      </w:r>
      <w:proofErr w:type="spellEnd"/>
      <w:r w:rsidRPr="00EB7457">
        <w:rPr>
          <w:rFonts w:asciiTheme="minorHAnsi" w:hAnsiTheme="minorHAnsi" w:cstheme="minorHAnsi"/>
        </w:rPr>
        <w:t xml:space="preserve"> care nu se află în procedura de supraveghere specială ori de administrare specială sau a cărei autorizație nu este retrasă  în procent de până la 50% din valoarea fondului, respectiv:</w:t>
      </w:r>
    </w:p>
    <w:p w14:paraId="1ACE1208" w14:textId="77777777" w:rsidR="00996569" w:rsidRPr="00406CF4" w:rsidRDefault="00996569" w:rsidP="00BF0BE1">
      <w:pPr>
        <w:pStyle w:val="ListParagraph"/>
        <w:numPr>
          <w:ilvl w:val="1"/>
          <w:numId w:val="7"/>
        </w:numPr>
        <w:spacing w:line="276" w:lineRule="auto"/>
        <w:ind w:left="2552"/>
        <w:jc w:val="both"/>
        <w:rPr>
          <w:rFonts w:asciiTheme="minorHAnsi" w:hAnsiTheme="minorHAnsi" w:cstheme="minorHAnsi"/>
        </w:rPr>
      </w:pPr>
      <w:r w:rsidRPr="00406CF4">
        <w:rPr>
          <w:rFonts w:asciiTheme="minorHAnsi" w:hAnsiTheme="minorHAnsi" w:cstheme="minorHAnsi"/>
        </w:rPr>
        <w:t>conturi curente în lei sau în valută liber convertibilă la bănci în procent de până la 40% din valoarea fondului;</w:t>
      </w:r>
    </w:p>
    <w:p w14:paraId="6E96746D" w14:textId="77777777" w:rsidR="00996569" w:rsidRPr="00EB7457" w:rsidRDefault="00996569" w:rsidP="00BF0BE1">
      <w:pPr>
        <w:pStyle w:val="ListParagraph"/>
        <w:numPr>
          <w:ilvl w:val="1"/>
          <w:numId w:val="7"/>
        </w:numPr>
        <w:spacing w:line="276" w:lineRule="auto"/>
        <w:ind w:left="2552"/>
        <w:jc w:val="both"/>
        <w:rPr>
          <w:rFonts w:asciiTheme="minorHAnsi" w:hAnsiTheme="minorHAnsi" w:cstheme="minorHAnsi"/>
        </w:rPr>
      </w:pPr>
      <w:r w:rsidRPr="00EB7457">
        <w:rPr>
          <w:rFonts w:asciiTheme="minorHAnsi" w:hAnsiTheme="minorHAnsi" w:cstheme="minorHAnsi"/>
        </w:rPr>
        <w:t>depozite în lei sau în valută liber convertibilă la bănci în procent de până la 50% din valoarea fondului</w:t>
      </w:r>
      <w:r>
        <w:rPr>
          <w:rFonts w:asciiTheme="minorHAnsi" w:hAnsiTheme="minorHAnsi" w:cstheme="minorHAnsi"/>
        </w:rPr>
        <w:t>;</w:t>
      </w:r>
    </w:p>
    <w:p w14:paraId="1CFD6A4B" w14:textId="77777777" w:rsidR="00996569" w:rsidRPr="00EB7457" w:rsidRDefault="00996569" w:rsidP="00BF0BE1">
      <w:pPr>
        <w:pStyle w:val="ListParagraph"/>
        <w:numPr>
          <w:ilvl w:val="0"/>
          <w:numId w:val="7"/>
        </w:numPr>
        <w:spacing w:line="276" w:lineRule="auto"/>
        <w:ind w:left="1560"/>
        <w:jc w:val="both"/>
        <w:rPr>
          <w:rFonts w:asciiTheme="minorHAnsi" w:hAnsiTheme="minorHAnsi" w:cstheme="minorHAnsi"/>
        </w:rPr>
      </w:pPr>
      <w:r w:rsidRPr="00EB7457">
        <w:rPr>
          <w:rFonts w:asciiTheme="minorHAnsi" w:hAnsiTheme="minorHAnsi" w:cstheme="minorHAnsi"/>
        </w:rPr>
        <w:t>Titluri la fonduri deschise de investiții care investesc în valori mobiliare cotate la bursă în procent de până la 5 % din valoarea fondului;</w:t>
      </w:r>
    </w:p>
    <w:p w14:paraId="40E379EA" w14:textId="77777777" w:rsidR="00996569" w:rsidRPr="00EB7457" w:rsidRDefault="00996569" w:rsidP="00BF0BE1">
      <w:pPr>
        <w:pStyle w:val="ListParagraph"/>
        <w:numPr>
          <w:ilvl w:val="0"/>
          <w:numId w:val="7"/>
        </w:numPr>
        <w:spacing w:line="276" w:lineRule="auto"/>
        <w:ind w:left="1560"/>
        <w:jc w:val="both"/>
        <w:rPr>
          <w:rFonts w:asciiTheme="minorHAnsi" w:hAnsiTheme="minorHAnsi" w:cstheme="minorHAnsi"/>
        </w:rPr>
      </w:pPr>
      <w:r w:rsidRPr="00EB7457">
        <w:rPr>
          <w:rFonts w:asciiTheme="minorHAnsi" w:hAnsiTheme="minorHAnsi" w:cstheme="minorHAnsi"/>
        </w:rPr>
        <w:t>Alte forme de investiții în procent de până la 3% din valoarea fondului.</w:t>
      </w:r>
    </w:p>
    <w:p w14:paraId="71C8E876" w14:textId="77777777" w:rsidR="00996569" w:rsidRPr="00EB7457" w:rsidRDefault="00996569" w:rsidP="00BF0BE1">
      <w:pPr>
        <w:pStyle w:val="ListParagraph"/>
        <w:ind w:left="0" w:firstLine="927"/>
        <w:jc w:val="both"/>
        <w:rPr>
          <w:rFonts w:asciiTheme="minorHAnsi" w:hAnsiTheme="minorHAnsi" w:cstheme="minorHAnsi"/>
          <w:color w:val="FF0000"/>
        </w:rPr>
      </w:pPr>
    </w:p>
    <w:p w14:paraId="438AEAA2" w14:textId="77777777" w:rsidR="00996569" w:rsidRDefault="00996569" w:rsidP="00BF0BE1">
      <w:pPr>
        <w:pStyle w:val="ListParagraph"/>
        <w:ind w:left="0" w:firstLine="708"/>
        <w:jc w:val="both"/>
        <w:rPr>
          <w:rFonts w:asciiTheme="minorHAnsi" w:hAnsiTheme="minorHAnsi" w:cstheme="minorHAnsi"/>
        </w:rPr>
      </w:pPr>
      <w:r w:rsidRPr="00EB7457">
        <w:rPr>
          <w:rFonts w:asciiTheme="minorHAnsi" w:hAnsiTheme="minorHAnsi" w:cstheme="minorHAnsi"/>
        </w:rPr>
        <w:t xml:space="preserve">(4) </w:t>
      </w:r>
      <w:r>
        <w:rPr>
          <w:rFonts w:asciiTheme="minorHAnsi" w:hAnsiTheme="minorHAnsi" w:cstheme="minorHAnsi"/>
        </w:rPr>
        <w:t>Aceiași s</w:t>
      </w:r>
      <w:r w:rsidRPr="00EB7457">
        <w:rPr>
          <w:rFonts w:asciiTheme="minorHAnsi" w:hAnsiTheme="minorHAnsi" w:cstheme="minorHAnsi"/>
        </w:rPr>
        <w:t xml:space="preserve">tructura investițională de la </w:t>
      </w:r>
      <w:r>
        <w:rPr>
          <w:rFonts w:asciiTheme="minorHAnsi" w:hAnsiTheme="minorHAnsi" w:cstheme="minorHAnsi"/>
        </w:rPr>
        <w:t xml:space="preserve">alin. (2) și (3) se va utiliza de către filialele C.A.A. și pentru </w:t>
      </w:r>
      <w:r w:rsidRPr="00EB7457">
        <w:rPr>
          <w:rFonts w:asciiTheme="minorHAnsi" w:hAnsiTheme="minorHAnsi" w:cstheme="minorHAnsi"/>
        </w:rPr>
        <w:t>fondul pentru alte drepturi de asigurări sociale ale avocaților, după caz.</w:t>
      </w:r>
    </w:p>
    <w:p w14:paraId="18F42214" w14:textId="77777777" w:rsidR="00B26A6E" w:rsidRDefault="00B26A6E" w:rsidP="00BF0BE1">
      <w:pPr>
        <w:spacing w:after="0"/>
        <w:jc w:val="both"/>
        <w:rPr>
          <w:rFonts w:cstheme="minorHAnsi"/>
          <w:b/>
          <w:sz w:val="24"/>
          <w:szCs w:val="24"/>
        </w:rPr>
      </w:pPr>
    </w:p>
    <w:p w14:paraId="78CDD5F5" w14:textId="697CD98A" w:rsidR="00893EE3" w:rsidRDefault="00DD001D" w:rsidP="00BF0BE1">
      <w:pPr>
        <w:spacing w:after="0"/>
        <w:jc w:val="both"/>
        <w:rPr>
          <w:rFonts w:cstheme="minorHAnsi"/>
          <w:bCs/>
          <w:sz w:val="24"/>
          <w:szCs w:val="24"/>
        </w:rPr>
      </w:pPr>
      <w:r w:rsidRPr="00240C5E">
        <w:rPr>
          <w:rFonts w:cstheme="minorHAnsi"/>
          <w:b/>
          <w:sz w:val="24"/>
          <w:szCs w:val="24"/>
        </w:rPr>
        <w:t xml:space="preserve">Art. </w:t>
      </w:r>
      <w:r w:rsidR="00E04E2E">
        <w:rPr>
          <w:rFonts w:cstheme="minorHAnsi"/>
          <w:b/>
          <w:sz w:val="24"/>
          <w:szCs w:val="24"/>
        </w:rPr>
        <w:t>2</w:t>
      </w:r>
      <w:r w:rsidRPr="00240C5E">
        <w:rPr>
          <w:rFonts w:cstheme="minorHAnsi"/>
          <w:bCs/>
          <w:sz w:val="24"/>
          <w:szCs w:val="24"/>
        </w:rPr>
        <w:t xml:space="preserve"> – </w:t>
      </w:r>
      <w:r w:rsidR="00CD3E40">
        <w:rPr>
          <w:rFonts w:cstheme="minorHAnsi"/>
          <w:bCs/>
          <w:sz w:val="24"/>
          <w:szCs w:val="24"/>
        </w:rPr>
        <w:t xml:space="preserve">(1) </w:t>
      </w:r>
      <w:r w:rsidRPr="00240C5E">
        <w:rPr>
          <w:rFonts w:cstheme="minorHAnsi"/>
          <w:bCs/>
          <w:sz w:val="24"/>
          <w:szCs w:val="24"/>
        </w:rPr>
        <w:t xml:space="preserve">Prezenta hotărâre </w:t>
      </w:r>
      <w:r w:rsidR="00893EE3">
        <w:rPr>
          <w:rFonts w:cstheme="minorHAnsi"/>
          <w:bCs/>
          <w:sz w:val="24"/>
          <w:szCs w:val="24"/>
        </w:rPr>
        <w:t>intră în vigoare la 01.01.2025.</w:t>
      </w:r>
    </w:p>
    <w:p w14:paraId="438E89DC" w14:textId="0216856D" w:rsidR="00CD3E40" w:rsidRDefault="00893EE3" w:rsidP="00893EE3">
      <w:pPr>
        <w:spacing w:after="0"/>
        <w:ind w:firstLine="708"/>
        <w:jc w:val="both"/>
        <w:rPr>
          <w:rFonts w:cstheme="minorHAnsi"/>
          <w:bCs/>
          <w:sz w:val="24"/>
          <w:szCs w:val="24"/>
        </w:rPr>
      </w:pPr>
      <w:r>
        <w:rPr>
          <w:rFonts w:cstheme="minorHAnsi"/>
          <w:bCs/>
          <w:sz w:val="24"/>
          <w:szCs w:val="24"/>
        </w:rPr>
        <w:t xml:space="preserve">(2) </w:t>
      </w:r>
      <w:r w:rsidRPr="00240C5E">
        <w:rPr>
          <w:rFonts w:cstheme="minorHAnsi"/>
          <w:bCs/>
          <w:sz w:val="24"/>
          <w:szCs w:val="24"/>
        </w:rPr>
        <w:t xml:space="preserve">Prezenta hotărâre </w:t>
      </w:r>
      <w:r w:rsidR="00DD001D" w:rsidRPr="00240C5E">
        <w:rPr>
          <w:rFonts w:cstheme="minorHAnsi"/>
          <w:bCs/>
          <w:sz w:val="24"/>
          <w:szCs w:val="24"/>
        </w:rPr>
        <w:t xml:space="preserve">se comunică </w:t>
      </w:r>
      <w:r w:rsidR="008C5F54" w:rsidRPr="00240C5E">
        <w:rPr>
          <w:rFonts w:cstheme="minorHAnsi"/>
          <w:bCs/>
          <w:sz w:val="24"/>
          <w:szCs w:val="24"/>
        </w:rPr>
        <w:t>Barourilor</w:t>
      </w:r>
      <w:r w:rsidR="008C5F54">
        <w:rPr>
          <w:rFonts w:cstheme="minorHAnsi"/>
          <w:bCs/>
          <w:sz w:val="24"/>
          <w:szCs w:val="24"/>
        </w:rPr>
        <w:t xml:space="preserve">, </w:t>
      </w:r>
      <w:r w:rsidR="008C5F54" w:rsidRPr="00240C5E">
        <w:rPr>
          <w:rFonts w:cstheme="minorHAnsi"/>
          <w:bCs/>
          <w:sz w:val="24"/>
          <w:szCs w:val="24"/>
        </w:rPr>
        <w:t xml:space="preserve">membrilor </w:t>
      </w:r>
      <w:r w:rsidR="008C5F54">
        <w:rPr>
          <w:rFonts w:cstheme="minorHAnsi"/>
          <w:bCs/>
          <w:sz w:val="24"/>
          <w:szCs w:val="24"/>
        </w:rPr>
        <w:t>C</w:t>
      </w:r>
      <w:r w:rsidR="008C5F54" w:rsidRPr="00240C5E">
        <w:rPr>
          <w:rFonts w:cstheme="minorHAnsi"/>
          <w:bCs/>
          <w:sz w:val="24"/>
          <w:szCs w:val="24"/>
        </w:rPr>
        <w:t xml:space="preserve">onsiliului U.N.B.R. </w:t>
      </w:r>
      <w:r w:rsidR="008C5F54">
        <w:rPr>
          <w:rFonts w:cstheme="minorHAnsi"/>
          <w:bCs/>
          <w:sz w:val="24"/>
          <w:szCs w:val="24"/>
        </w:rPr>
        <w:t xml:space="preserve">și </w:t>
      </w:r>
      <w:r w:rsidR="00DD001D" w:rsidRPr="00240C5E">
        <w:rPr>
          <w:rFonts w:cstheme="minorHAnsi"/>
          <w:bCs/>
          <w:sz w:val="24"/>
          <w:szCs w:val="24"/>
        </w:rPr>
        <w:t>C.A.A.</w:t>
      </w:r>
      <w:r w:rsidR="008C5F54">
        <w:rPr>
          <w:rFonts w:cstheme="minorHAnsi"/>
          <w:bCs/>
          <w:sz w:val="24"/>
          <w:szCs w:val="24"/>
        </w:rPr>
        <w:t>, care</w:t>
      </w:r>
      <w:r w:rsidR="00AD5C79">
        <w:rPr>
          <w:rFonts w:cstheme="minorHAnsi"/>
          <w:bCs/>
          <w:sz w:val="24"/>
          <w:szCs w:val="24"/>
        </w:rPr>
        <w:t xml:space="preserve"> o </w:t>
      </w:r>
      <w:r w:rsidR="008C5F54">
        <w:rPr>
          <w:rFonts w:cstheme="minorHAnsi"/>
          <w:bCs/>
          <w:sz w:val="24"/>
          <w:szCs w:val="24"/>
        </w:rPr>
        <w:t>va comunica către filiale</w:t>
      </w:r>
      <w:r w:rsidR="00DD001D" w:rsidRPr="00240C5E">
        <w:rPr>
          <w:rFonts w:cstheme="minorHAnsi"/>
          <w:bCs/>
          <w:sz w:val="24"/>
          <w:szCs w:val="24"/>
        </w:rPr>
        <w:t xml:space="preserve"> </w:t>
      </w:r>
      <w:proofErr w:type="spellStart"/>
      <w:r w:rsidR="00DD001D" w:rsidRPr="00240C5E">
        <w:rPr>
          <w:rFonts w:cstheme="minorHAnsi"/>
          <w:bCs/>
          <w:sz w:val="24"/>
          <w:szCs w:val="24"/>
        </w:rPr>
        <w:t>şi</w:t>
      </w:r>
      <w:proofErr w:type="spellEnd"/>
      <w:r w:rsidR="00DD001D" w:rsidRPr="00240C5E">
        <w:rPr>
          <w:rFonts w:cstheme="minorHAnsi"/>
          <w:bCs/>
          <w:sz w:val="24"/>
          <w:szCs w:val="24"/>
        </w:rPr>
        <w:t xml:space="preserve"> se publică pe website-</w:t>
      </w:r>
      <w:proofErr w:type="spellStart"/>
      <w:r w:rsidR="00DD001D" w:rsidRPr="00240C5E">
        <w:rPr>
          <w:rFonts w:cstheme="minorHAnsi"/>
          <w:bCs/>
          <w:sz w:val="24"/>
          <w:szCs w:val="24"/>
        </w:rPr>
        <w:t>ul</w:t>
      </w:r>
      <w:proofErr w:type="spellEnd"/>
      <w:r w:rsidR="00DD001D" w:rsidRPr="00240C5E">
        <w:rPr>
          <w:rFonts w:cstheme="minorHAnsi"/>
          <w:bCs/>
          <w:sz w:val="24"/>
          <w:szCs w:val="24"/>
        </w:rPr>
        <w:t xml:space="preserve"> </w:t>
      </w:r>
      <w:hyperlink r:id="rId8" w:history="1">
        <w:r w:rsidR="009E1944" w:rsidRPr="00FF466C">
          <w:rPr>
            <w:rStyle w:val="Hyperlink"/>
            <w:rFonts w:cstheme="minorHAnsi"/>
            <w:bCs/>
            <w:sz w:val="24"/>
            <w:szCs w:val="24"/>
          </w:rPr>
          <w:t>www.unbr.ro</w:t>
        </w:r>
      </w:hyperlink>
      <w:r w:rsidR="00DD001D" w:rsidRPr="00240C5E">
        <w:rPr>
          <w:rFonts w:cstheme="minorHAnsi"/>
          <w:bCs/>
          <w:sz w:val="24"/>
          <w:szCs w:val="24"/>
        </w:rPr>
        <w:t>.</w:t>
      </w:r>
      <w:r w:rsidR="009E1944">
        <w:rPr>
          <w:rFonts w:cstheme="minorHAnsi"/>
          <w:bCs/>
          <w:sz w:val="24"/>
          <w:szCs w:val="24"/>
        </w:rPr>
        <w:t xml:space="preserve"> și www.caav.ro.</w:t>
      </w:r>
    </w:p>
    <w:p w14:paraId="1C9AF405" w14:textId="3002FF0C" w:rsidR="00C81270" w:rsidRPr="00DD001D" w:rsidRDefault="00CD3E40" w:rsidP="00BF0BE1">
      <w:pPr>
        <w:spacing w:after="0"/>
        <w:ind w:firstLine="708"/>
        <w:jc w:val="both"/>
        <w:rPr>
          <w:rFonts w:cstheme="minorHAnsi"/>
          <w:bCs/>
          <w:sz w:val="24"/>
          <w:szCs w:val="24"/>
        </w:rPr>
      </w:pPr>
      <w:r>
        <w:rPr>
          <w:rFonts w:cstheme="minorHAnsi"/>
          <w:bCs/>
          <w:sz w:val="24"/>
          <w:szCs w:val="24"/>
        </w:rPr>
        <w:t xml:space="preserve">(2) </w:t>
      </w:r>
      <w:r w:rsidR="00DD001D" w:rsidRPr="00240C5E">
        <w:rPr>
          <w:rFonts w:cstheme="minorHAnsi"/>
          <w:bCs/>
          <w:sz w:val="24"/>
          <w:szCs w:val="24"/>
        </w:rPr>
        <w:t>Barourile vor asigura publicitatea hotărârii pe raza teritorială de competență.</w:t>
      </w:r>
    </w:p>
    <w:p w14:paraId="6689BEAA" w14:textId="77777777" w:rsidR="001525BE" w:rsidRDefault="001525BE" w:rsidP="00BF0BE1">
      <w:pPr>
        <w:keepLines/>
        <w:spacing w:after="0"/>
        <w:jc w:val="both"/>
        <w:rPr>
          <w:rFonts w:cstheme="minorHAnsi"/>
          <w:sz w:val="24"/>
          <w:szCs w:val="24"/>
        </w:rPr>
      </w:pPr>
    </w:p>
    <w:p w14:paraId="20A3B0F5" w14:textId="77777777" w:rsidR="009E1944" w:rsidRDefault="009E1944" w:rsidP="00BF0BE1">
      <w:pPr>
        <w:keepLines/>
        <w:spacing w:after="0"/>
        <w:jc w:val="both"/>
        <w:rPr>
          <w:rFonts w:cstheme="minorHAnsi"/>
          <w:sz w:val="24"/>
          <w:szCs w:val="24"/>
        </w:rPr>
      </w:pPr>
    </w:p>
    <w:p w14:paraId="1D26DCA2" w14:textId="77777777" w:rsidR="009E1944" w:rsidRDefault="009E1944" w:rsidP="00BF0BE1">
      <w:pPr>
        <w:keepLines/>
        <w:spacing w:after="0"/>
        <w:jc w:val="both"/>
        <w:rPr>
          <w:rFonts w:cstheme="minorHAnsi"/>
          <w:sz w:val="24"/>
          <w:szCs w:val="24"/>
        </w:rPr>
      </w:pPr>
    </w:p>
    <w:p w14:paraId="2C3CBA12" w14:textId="77777777" w:rsidR="009E1944" w:rsidRDefault="009E1944" w:rsidP="00BF0BE1">
      <w:pPr>
        <w:keepLines/>
        <w:spacing w:after="0"/>
        <w:jc w:val="both"/>
        <w:rPr>
          <w:rFonts w:cstheme="minorHAnsi"/>
          <w:sz w:val="24"/>
          <w:szCs w:val="24"/>
        </w:rPr>
      </w:pPr>
    </w:p>
    <w:p w14:paraId="4A947ED6" w14:textId="77777777" w:rsidR="00690487" w:rsidRPr="008E6830" w:rsidRDefault="00690487" w:rsidP="00BF0BE1">
      <w:pPr>
        <w:keepLines/>
        <w:spacing w:after="0"/>
        <w:jc w:val="both"/>
        <w:rPr>
          <w:rFonts w:cstheme="minorHAnsi"/>
          <w:sz w:val="24"/>
          <w:szCs w:val="24"/>
        </w:rPr>
      </w:pPr>
    </w:p>
    <w:p w14:paraId="1FE52FCD" w14:textId="2568D9AF" w:rsidR="007C7316" w:rsidRDefault="007033F2" w:rsidP="00BF0BE1">
      <w:pPr>
        <w:spacing w:after="0"/>
        <w:ind w:right="29"/>
        <w:jc w:val="center"/>
        <w:rPr>
          <w:rFonts w:cstheme="minorHAnsi"/>
          <w:b/>
          <w:sz w:val="28"/>
          <w:szCs w:val="28"/>
        </w:rPr>
      </w:pPr>
      <w:r w:rsidRPr="00937DAF">
        <w:rPr>
          <w:rFonts w:cstheme="minorHAnsi"/>
          <w:b/>
          <w:sz w:val="28"/>
          <w:szCs w:val="28"/>
        </w:rPr>
        <w:t>C O N S I L I U L   U. N. B. R.</w:t>
      </w:r>
    </w:p>
    <w:sectPr w:rsidR="007C7316" w:rsidSect="000D1B4E">
      <w:footerReference w:type="default" r:id="rId9"/>
      <w:pgSz w:w="11906" w:h="16838"/>
      <w:pgMar w:top="709" w:right="991" w:bottom="851" w:left="1418" w:header="708" w:footer="5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17A141" w14:textId="77777777" w:rsidR="00DE05AB" w:rsidRDefault="00DE05AB" w:rsidP="0008612D">
      <w:pPr>
        <w:spacing w:after="0" w:line="240" w:lineRule="auto"/>
      </w:pPr>
      <w:r>
        <w:separator/>
      </w:r>
    </w:p>
  </w:endnote>
  <w:endnote w:type="continuationSeparator" w:id="0">
    <w:p w14:paraId="633B6B65" w14:textId="77777777" w:rsidR="00DE05AB" w:rsidRDefault="00DE05AB" w:rsidP="000861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68190667"/>
      <w:docPartObj>
        <w:docPartGallery w:val="Page Numbers (Bottom of Page)"/>
        <w:docPartUnique/>
      </w:docPartObj>
    </w:sdtPr>
    <w:sdtEndPr>
      <w:rPr>
        <w:noProof/>
      </w:rPr>
    </w:sdtEndPr>
    <w:sdtContent>
      <w:p w14:paraId="5A4AC20C" w14:textId="7B98939E" w:rsidR="00C81270" w:rsidRDefault="00C8127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3238FB1" w14:textId="77777777" w:rsidR="0008612D" w:rsidRDefault="000861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B98B95" w14:textId="77777777" w:rsidR="00DE05AB" w:rsidRDefault="00DE05AB" w:rsidP="0008612D">
      <w:pPr>
        <w:spacing w:after="0" w:line="240" w:lineRule="auto"/>
      </w:pPr>
      <w:r>
        <w:separator/>
      </w:r>
    </w:p>
  </w:footnote>
  <w:footnote w:type="continuationSeparator" w:id="0">
    <w:p w14:paraId="6C90334F" w14:textId="77777777" w:rsidR="00DE05AB" w:rsidRDefault="00DE05AB" w:rsidP="000861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D09DD"/>
    <w:multiLevelType w:val="hybridMultilevel"/>
    <w:tmpl w:val="F3B052BE"/>
    <w:lvl w:ilvl="0" w:tplc="FFFFFFFF">
      <w:start w:val="1"/>
      <w:numFmt w:val="lowerLetter"/>
      <w:lvlText w:val="%1)"/>
      <w:lvlJc w:val="left"/>
      <w:pPr>
        <w:ind w:left="927" w:hanging="360"/>
      </w:pPr>
      <w:rPr>
        <w:rFonts w:hint="default"/>
      </w:rPr>
    </w:lvl>
    <w:lvl w:ilvl="1" w:tplc="FFFFFFFF">
      <w:start w:val="1"/>
      <w:numFmt w:val="lowerRoman"/>
      <w:lvlText w:val="%2."/>
      <w:lvlJc w:val="left"/>
      <w:pPr>
        <w:ind w:left="1647" w:hanging="360"/>
      </w:pPr>
      <w:rPr>
        <w:rFonts w:hint="default"/>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 w15:restartNumberingAfterBreak="0">
    <w:nsid w:val="27650DA7"/>
    <w:multiLevelType w:val="hybridMultilevel"/>
    <w:tmpl w:val="F3B052BE"/>
    <w:lvl w:ilvl="0" w:tplc="C61E2502">
      <w:start w:val="1"/>
      <w:numFmt w:val="lowerLetter"/>
      <w:lvlText w:val="%1)"/>
      <w:lvlJc w:val="left"/>
      <w:pPr>
        <w:ind w:left="900" w:hanging="360"/>
      </w:pPr>
      <w:rPr>
        <w:rFonts w:hint="default"/>
      </w:rPr>
    </w:lvl>
    <w:lvl w:ilvl="1" w:tplc="D79CF59A">
      <w:start w:val="1"/>
      <w:numFmt w:val="lowerRoman"/>
      <w:lvlText w:val="%2."/>
      <w:lvlJc w:val="left"/>
      <w:pPr>
        <w:ind w:left="1647" w:hanging="36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3E5E6504"/>
    <w:multiLevelType w:val="hybridMultilevel"/>
    <w:tmpl w:val="F4503BC2"/>
    <w:lvl w:ilvl="0" w:tplc="C09CBECE">
      <w:start w:val="1"/>
      <w:numFmt w:val="lowerLetter"/>
      <w:lvlText w:val="%1)"/>
      <w:lvlJc w:val="left"/>
      <w:pPr>
        <w:ind w:left="927" w:hanging="360"/>
      </w:pPr>
      <w:rPr>
        <w:rFonts w:hint="default"/>
      </w:rPr>
    </w:lvl>
    <w:lvl w:ilvl="1" w:tplc="E1B0BC8C">
      <w:start w:val="1"/>
      <w:numFmt w:val="lowerRoman"/>
      <w:lvlText w:val="%2."/>
      <w:lvlJc w:val="left"/>
      <w:pPr>
        <w:ind w:left="1440" w:hanging="360"/>
      </w:pPr>
      <w:rPr>
        <w:rFonts w:asciiTheme="minorHAnsi" w:eastAsiaTheme="minorHAnsi" w:hAnsiTheme="minorHAnsi" w:cstheme="minorHAns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36430E"/>
    <w:multiLevelType w:val="hybridMultilevel"/>
    <w:tmpl w:val="C25E1D86"/>
    <w:lvl w:ilvl="0" w:tplc="D3A28A08">
      <w:start w:val="1"/>
      <w:numFmt w:val="lowerLetter"/>
      <w:lvlText w:val="%1)"/>
      <w:lvlJc w:val="left"/>
      <w:pPr>
        <w:ind w:left="1636" w:hanging="360"/>
      </w:pPr>
    </w:lvl>
    <w:lvl w:ilvl="1" w:tplc="04090019">
      <w:start w:val="1"/>
      <w:numFmt w:val="lowerLetter"/>
      <w:lvlText w:val="%2."/>
      <w:lvlJc w:val="left"/>
      <w:pPr>
        <w:ind w:left="2356" w:hanging="360"/>
      </w:pPr>
    </w:lvl>
    <w:lvl w:ilvl="2" w:tplc="0409001B">
      <w:start w:val="1"/>
      <w:numFmt w:val="lowerRoman"/>
      <w:lvlText w:val="%3."/>
      <w:lvlJc w:val="right"/>
      <w:pPr>
        <w:ind w:left="3076" w:hanging="180"/>
      </w:pPr>
    </w:lvl>
    <w:lvl w:ilvl="3" w:tplc="0409000F">
      <w:start w:val="1"/>
      <w:numFmt w:val="decimal"/>
      <w:lvlText w:val="%4."/>
      <w:lvlJc w:val="left"/>
      <w:pPr>
        <w:ind w:left="3796" w:hanging="360"/>
      </w:pPr>
    </w:lvl>
    <w:lvl w:ilvl="4" w:tplc="04090019">
      <w:start w:val="1"/>
      <w:numFmt w:val="lowerLetter"/>
      <w:lvlText w:val="%5."/>
      <w:lvlJc w:val="left"/>
      <w:pPr>
        <w:ind w:left="4516" w:hanging="360"/>
      </w:pPr>
    </w:lvl>
    <w:lvl w:ilvl="5" w:tplc="0409001B">
      <w:start w:val="1"/>
      <w:numFmt w:val="lowerRoman"/>
      <w:lvlText w:val="%6."/>
      <w:lvlJc w:val="right"/>
      <w:pPr>
        <w:ind w:left="5236" w:hanging="180"/>
      </w:pPr>
    </w:lvl>
    <w:lvl w:ilvl="6" w:tplc="0409000F">
      <w:start w:val="1"/>
      <w:numFmt w:val="decimal"/>
      <w:lvlText w:val="%7."/>
      <w:lvlJc w:val="left"/>
      <w:pPr>
        <w:ind w:left="5956" w:hanging="360"/>
      </w:pPr>
    </w:lvl>
    <w:lvl w:ilvl="7" w:tplc="04090019">
      <w:start w:val="1"/>
      <w:numFmt w:val="lowerLetter"/>
      <w:lvlText w:val="%8."/>
      <w:lvlJc w:val="left"/>
      <w:pPr>
        <w:ind w:left="6676" w:hanging="360"/>
      </w:pPr>
    </w:lvl>
    <w:lvl w:ilvl="8" w:tplc="0409001B">
      <w:start w:val="1"/>
      <w:numFmt w:val="lowerRoman"/>
      <w:lvlText w:val="%9."/>
      <w:lvlJc w:val="right"/>
      <w:pPr>
        <w:ind w:left="7396" w:hanging="180"/>
      </w:pPr>
    </w:lvl>
  </w:abstractNum>
  <w:abstractNum w:abstractNumId="4" w15:restartNumberingAfterBreak="0">
    <w:nsid w:val="424A6373"/>
    <w:multiLevelType w:val="hybridMultilevel"/>
    <w:tmpl w:val="C25E1D86"/>
    <w:lvl w:ilvl="0" w:tplc="FFFFFFFF">
      <w:start w:val="1"/>
      <w:numFmt w:val="lowerLetter"/>
      <w:lvlText w:val="%1)"/>
      <w:lvlJc w:val="left"/>
      <w:pPr>
        <w:ind w:left="1636" w:hanging="360"/>
      </w:pPr>
    </w:lvl>
    <w:lvl w:ilvl="1" w:tplc="FFFFFFFF">
      <w:start w:val="1"/>
      <w:numFmt w:val="lowerLetter"/>
      <w:lvlText w:val="%2."/>
      <w:lvlJc w:val="left"/>
      <w:pPr>
        <w:ind w:left="2356" w:hanging="360"/>
      </w:pPr>
    </w:lvl>
    <w:lvl w:ilvl="2" w:tplc="FFFFFFFF">
      <w:start w:val="1"/>
      <w:numFmt w:val="lowerRoman"/>
      <w:lvlText w:val="%3."/>
      <w:lvlJc w:val="right"/>
      <w:pPr>
        <w:ind w:left="3076" w:hanging="180"/>
      </w:pPr>
    </w:lvl>
    <w:lvl w:ilvl="3" w:tplc="FFFFFFFF">
      <w:start w:val="1"/>
      <w:numFmt w:val="decimal"/>
      <w:lvlText w:val="%4."/>
      <w:lvlJc w:val="left"/>
      <w:pPr>
        <w:ind w:left="3796" w:hanging="360"/>
      </w:pPr>
    </w:lvl>
    <w:lvl w:ilvl="4" w:tplc="FFFFFFFF">
      <w:start w:val="1"/>
      <w:numFmt w:val="lowerLetter"/>
      <w:lvlText w:val="%5."/>
      <w:lvlJc w:val="left"/>
      <w:pPr>
        <w:ind w:left="4516" w:hanging="360"/>
      </w:pPr>
    </w:lvl>
    <w:lvl w:ilvl="5" w:tplc="FFFFFFFF">
      <w:start w:val="1"/>
      <w:numFmt w:val="lowerRoman"/>
      <w:lvlText w:val="%6."/>
      <w:lvlJc w:val="right"/>
      <w:pPr>
        <w:ind w:left="5236" w:hanging="180"/>
      </w:pPr>
    </w:lvl>
    <w:lvl w:ilvl="6" w:tplc="FFFFFFFF">
      <w:start w:val="1"/>
      <w:numFmt w:val="decimal"/>
      <w:lvlText w:val="%7."/>
      <w:lvlJc w:val="left"/>
      <w:pPr>
        <w:ind w:left="5956" w:hanging="360"/>
      </w:pPr>
    </w:lvl>
    <w:lvl w:ilvl="7" w:tplc="FFFFFFFF">
      <w:start w:val="1"/>
      <w:numFmt w:val="lowerLetter"/>
      <w:lvlText w:val="%8."/>
      <w:lvlJc w:val="left"/>
      <w:pPr>
        <w:ind w:left="6676" w:hanging="360"/>
      </w:pPr>
    </w:lvl>
    <w:lvl w:ilvl="8" w:tplc="FFFFFFFF">
      <w:start w:val="1"/>
      <w:numFmt w:val="lowerRoman"/>
      <w:lvlText w:val="%9."/>
      <w:lvlJc w:val="right"/>
      <w:pPr>
        <w:ind w:left="7396" w:hanging="180"/>
      </w:pPr>
    </w:lvl>
  </w:abstractNum>
  <w:abstractNum w:abstractNumId="5" w15:restartNumberingAfterBreak="0">
    <w:nsid w:val="49213FE6"/>
    <w:multiLevelType w:val="hybridMultilevel"/>
    <w:tmpl w:val="CBEEDDE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9533953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603481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41415286">
    <w:abstractNumId w:val="3"/>
  </w:num>
  <w:num w:numId="4" w16cid:durableId="43530686">
    <w:abstractNumId w:val="4"/>
  </w:num>
  <w:num w:numId="5" w16cid:durableId="1102726030">
    <w:abstractNumId w:val="1"/>
  </w:num>
  <w:num w:numId="6" w16cid:durableId="464738829">
    <w:abstractNumId w:val="0"/>
  </w:num>
  <w:num w:numId="7" w16cid:durableId="15298768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F1A"/>
    <w:rsid w:val="00005BC3"/>
    <w:rsid w:val="0003519B"/>
    <w:rsid w:val="00040CE3"/>
    <w:rsid w:val="00082B4D"/>
    <w:rsid w:val="0008612D"/>
    <w:rsid w:val="000B0805"/>
    <w:rsid w:val="000D1B4E"/>
    <w:rsid w:val="000D6481"/>
    <w:rsid w:val="000D6995"/>
    <w:rsid w:val="000E5DEA"/>
    <w:rsid w:val="000F6DE0"/>
    <w:rsid w:val="001252EF"/>
    <w:rsid w:val="001525BE"/>
    <w:rsid w:val="00162658"/>
    <w:rsid w:val="00165153"/>
    <w:rsid w:val="00166E23"/>
    <w:rsid w:val="001B7940"/>
    <w:rsid w:val="001E2844"/>
    <w:rsid w:val="002314A5"/>
    <w:rsid w:val="00240C5E"/>
    <w:rsid w:val="00242E96"/>
    <w:rsid w:val="00244DB4"/>
    <w:rsid w:val="00264EC0"/>
    <w:rsid w:val="00293B60"/>
    <w:rsid w:val="00297FFD"/>
    <w:rsid w:val="003633F5"/>
    <w:rsid w:val="00396FB4"/>
    <w:rsid w:val="003A64F6"/>
    <w:rsid w:val="003B2987"/>
    <w:rsid w:val="003B5380"/>
    <w:rsid w:val="003E368E"/>
    <w:rsid w:val="0040396E"/>
    <w:rsid w:val="00425288"/>
    <w:rsid w:val="00486EB8"/>
    <w:rsid w:val="004F0097"/>
    <w:rsid w:val="004F5EFC"/>
    <w:rsid w:val="005216A8"/>
    <w:rsid w:val="00530B84"/>
    <w:rsid w:val="00536F08"/>
    <w:rsid w:val="00550FDE"/>
    <w:rsid w:val="005807F0"/>
    <w:rsid w:val="005A70C9"/>
    <w:rsid w:val="005B1178"/>
    <w:rsid w:val="005B7128"/>
    <w:rsid w:val="00616DA2"/>
    <w:rsid w:val="00617FDD"/>
    <w:rsid w:val="00634391"/>
    <w:rsid w:val="0064422D"/>
    <w:rsid w:val="00652E93"/>
    <w:rsid w:val="00655829"/>
    <w:rsid w:val="0067464B"/>
    <w:rsid w:val="006858C0"/>
    <w:rsid w:val="006875F6"/>
    <w:rsid w:val="00690487"/>
    <w:rsid w:val="006B1D2F"/>
    <w:rsid w:val="006C1225"/>
    <w:rsid w:val="007033F2"/>
    <w:rsid w:val="007120F8"/>
    <w:rsid w:val="0073653F"/>
    <w:rsid w:val="007A1708"/>
    <w:rsid w:val="007C7316"/>
    <w:rsid w:val="007D2183"/>
    <w:rsid w:val="007D3308"/>
    <w:rsid w:val="007D743C"/>
    <w:rsid w:val="007D776C"/>
    <w:rsid w:val="007E0623"/>
    <w:rsid w:val="008009C5"/>
    <w:rsid w:val="0082072E"/>
    <w:rsid w:val="00824BEE"/>
    <w:rsid w:val="00833325"/>
    <w:rsid w:val="008435EB"/>
    <w:rsid w:val="0087022A"/>
    <w:rsid w:val="0087293B"/>
    <w:rsid w:val="00886306"/>
    <w:rsid w:val="00893EE3"/>
    <w:rsid w:val="008A1980"/>
    <w:rsid w:val="008A4E84"/>
    <w:rsid w:val="008B50CB"/>
    <w:rsid w:val="008C5F54"/>
    <w:rsid w:val="008D1E07"/>
    <w:rsid w:val="008D3532"/>
    <w:rsid w:val="008E6830"/>
    <w:rsid w:val="0091666B"/>
    <w:rsid w:val="00933CE3"/>
    <w:rsid w:val="00937DAF"/>
    <w:rsid w:val="00940209"/>
    <w:rsid w:val="00941258"/>
    <w:rsid w:val="009963F9"/>
    <w:rsid w:val="00996569"/>
    <w:rsid w:val="009C06D1"/>
    <w:rsid w:val="009C6F44"/>
    <w:rsid w:val="009D177E"/>
    <w:rsid w:val="009E1944"/>
    <w:rsid w:val="00A01105"/>
    <w:rsid w:val="00A27D6C"/>
    <w:rsid w:val="00A66152"/>
    <w:rsid w:val="00AB7207"/>
    <w:rsid w:val="00AD5C79"/>
    <w:rsid w:val="00B26A6E"/>
    <w:rsid w:val="00BB5D08"/>
    <w:rsid w:val="00BB795E"/>
    <w:rsid w:val="00BD6A76"/>
    <w:rsid w:val="00BF0BE1"/>
    <w:rsid w:val="00C15BD3"/>
    <w:rsid w:val="00C15F81"/>
    <w:rsid w:val="00C20F3B"/>
    <w:rsid w:val="00C2144D"/>
    <w:rsid w:val="00C257E2"/>
    <w:rsid w:val="00C47843"/>
    <w:rsid w:val="00C519FE"/>
    <w:rsid w:val="00C57CE4"/>
    <w:rsid w:val="00C81270"/>
    <w:rsid w:val="00C858BA"/>
    <w:rsid w:val="00C859A6"/>
    <w:rsid w:val="00CC3C3A"/>
    <w:rsid w:val="00CD3E40"/>
    <w:rsid w:val="00CD4E75"/>
    <w:rsid w:val="00CE0F1A"/>
    <w:rsid w:val="00D07073"/>
    <w:rsid w:val="00D126D3"/>
    <w:rsid w:val="00D41F2E"/>
    <w:rsid w:val="00D47FAD"/>
    <w:rsid w:val="00D9574C"/>
    <w:rsid w:val="00D9771B"/>
    <w:rsid w:val="00DB146A"/>
    <w:rsid w:val="00DD001D"/>
    <w:rsid w:val="00DD2E64"/>
    <w:rsid w:val="00DE05AB"/>
    <w:rsid w:val="00E02D53"/>
    <w:rsid w:val="00E04E2E"/>
    <w:rsid w:val="00E275EB"/>
    <w:rsid w:val="00E43EB3"/>
    <w:rsid w:val="00E85E94"/>
    <w:rsid w:val="00F15FA1"/>
    <w:rsid w:val="00F167FF"/>
    <w:rsid w:val="00F17880"/>
    <w:rsid w:val="00F27025"/>
    <w:rsid w:val="00F52280"/>
    <w:rsid w:val="00F527AF"/>
    <w:rsid w:val="00F72A08"/>
    <w:rsid w:val="00F97A8F"/>
    <w:rsid w:val="00F97B51"/>
    <w:rsid w:val="00FA412A"/>
    <w:rsid w:val="00FE41A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46B65E"/>
  <w15:docId w15:val="{8596A161-3E5A-4A89-A6C0-32505433F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39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7316"/>
    <w:rPr>
      <w:color w:val="0000FF" w:themeColor="hyperlink"/>
      <w:u w:val="single"/>
    </w:rPr>
  </w:style>
  <w:style w:type="paragraph" w:styleId="ListParagraph">
    <w:name w:val="List Paragraph"/>
    <w:basedOn w:val="Normal"/>
    <w:uiPriority w:val="34"/>
    <w:qFormat/>
    <w:rsid w:val="007033F2"/>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861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12D"/>
  </w:style>
  <w:style w:type="paragraph" w:styleId="Footer">
    <w:name w:val="footer"/>
    <w:basedOn w:val="Normal"/>
    <w:link w:val="FooterChar"/>
    <w:uiPriority w:val="99"/>
    <w:unhideWhenUsed/>
    <w:rsid w:val="000861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12D"/>
  </w:style>
  <w:style w:type="character" w:styleId="CommentReference">
    <w:name w:val="annotation reference"/>
    <w:basedOn w:val="DefaultParagraphFont"/>
    <w:uiPriority w:val="99"/>
    <w:semiHidden/>
    <w:unhideWhenUsed/>
    <w:rsid w:val="00396FB4"/>
    <w:rPr>
      <w:sz w:val="16"/>
      <w:szCs w:val="16"/>
    </w:rPr>
  </w:style>
  <w:style w:type="paragraph" w:styleId="CommentText">
    <w:name w:val="annotation text"/>
    <w:basedOn w:val="Normal"/>
    <w:link w:val="CommentTextChar"/>
    <w:uiPriority w:val="99"/>
    <w:semiHidden/>
    <w:unhideWhenUsed/>
    <w:rsid w:val="00396FB4"/>
    <w:pPr>
      <w:spacing w:line="240" w:lineRule="auto"/>
    </w:pPr>
    <w:rPr>
      <w:sz w:val="20"/>
      <w:szCs w:val="20"/>
    </w:rPr>
  </w:style>
  <w:style w:type="character" w:customStyle="1" w:styleId="CommentTextChar">
    <w:name w:val="Comment Text Char"/>
    <w:basedOn w:val="DefaultParagraphFont"/>
    <w:link w:val="CommentText"/>
    <w:uiPriority w:val="99"/>
    <w:semiHidden/>
    <w:rsid w:val="00396FB4"/>
    <w:rPr>
      <w:sz w:val="20"/>
      <w:szCs w:val="20"/>
    </w:rPr>
  </w:style>
  <w:style w:type="paragraph" w:styleId="CommentSubject">
    <w:name w:val="annotation subject"/>
    <w:basedOn w:val="CommentText"/>
    <w:next w:val="CommentText"/>
    <w:link w:val="CommentSubjectChar"/>
    <w:uiPriority w:val="99"/>
    <w:semiHidden/>
    <w:unhideWhenUsed/>
    <w:rsid w:val="00396FB4"/>
    <w:rPr>
      <w:b/>
      <w:bCs/>
    </w:rPr>
  </w:style>
  <w:style w:type="character" w:customStyle="1" w:styleId="CommentSubjectChar">
    <w:name w:val="Comment Subject Char"/>
    <w:basedOn w:val="CommentTextChar"/>
    <w:link w:val="CommentSubject"/>
    <w:uiPriority w:val="99"/>
    <w:semiHidden/>
    <w:rsid w:val="00396FB4"/>
    <w:rPr>
      <w:b/>
      <w:bCs/>
      <w:sz w:val="20"/>
      <w:szCs w:val="20"/>
    </w:rPr>
  </w:style>
  <w:style w:type="paragraph" w:styleId="BalloonText">
    <w:name w:val="Balloon Text"/>
    <w:basedOn w:val="Normal"/>
    <w:link w:val="BalloonTextChar"/>
    <w:uiPriority w:val="99"/>
    <w:semiHidden/>
    <w:unhideWhenUsed/>
    <w:rsid w:val="00396F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FB4"/>
    <w:rPr>
      <w:rFonts w:ascii="Segoe UI" w:hAnsi="Segoe UI" w:cs="Segoe UI"/>
      <w:sz w:val="18"/>
      <w:szCs w:val="18"/>
    </w:rPr>
  </w:style>
  <w:style w:type="paragraph" w:styleId="BodyText">
    <w:name w:val="Body Text"/>
    <w:basedOn w:val="Normal"/>
    <w:link w:val="BodyTextChar"/>
    <w:uiPriority w:val="1"/>
    <w:qFormat/>
    <w:rsid w:val="00C15BD3"/>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C15BD3"/>
    <w:rPr>
      <w:rFonts w:ascii="Arial" w:eastAsia="Arial" w:hAnsi="Arial" w:cs="Arial"/>
      <w:sz w:val="24"/>
      <w:szCs w:val="24"/>
    </w:rPr>
  </w:style>
  <w:style w:type="character" w:styleId="UnresolvedMention">
    <w:name w:val="Unresolved Mention"/>
    <w:basedOn w:val="DefaultParagraphFont"/>
    <w:uiPriority w:val="99"/>
    <w:semiHidden/>
    <w:unhideWhenUsed/>
    <w:rsid w:val="009E19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907794">
      <w:bodyDiv w:val="1"/>
      <w:marLeft w:val="0"/>
      <w:marRight w:val="0"/>
      <w:marTop w:val="0"/>
      <w:marBottom w:val="0"/>
      <w:divBdr>
        <w:top w:val="none" w:sz="0" w:space="0" w:color="auto"/>
        <w:left w:val="none" w:sz="0" w:space="0" w:color="auto"/>
        <w:bottom w:val="none" w:sz="0" w:space="0" w:color="auto"/>
        <w:right w:val="none" w:sz="0" w:space="0" w:color="auto"/>
      </w:divBdr>
    </w:div>
    <w:div w:id="84352672">
      <w:bodyDiv w:val="1"/>
      <w:marLeft w:val="0"/>
      <w:marRight w:val="0"/>
      <w:marTop w:val="0"/>
      <w:marBottom w:val="0"/>
      <w:divBdr>
        <w:top w:val="none" w:sz="0" w:space="0" w:color="auto"/>
        <w:left w:val="none" w:sz="0" w:space="0" w:color="auto"/>
        <w:bottom w:val="none" w:sz="0" w:space="0" w:color="auto"/>
        <w:right w:val="none" w:sz="0" w:space="0" w:color="auto"/>
      </w:divBdr>
    </w:div>
    <w:div w:id="201749734">
      <w:bodyDiv w:val="1"/>
      <w:marLeft w:val="0"/>
      <w:marRight w:val="0"/>
      <w:marTop w:val="0"/>
      <w:marBottom w:val="0"/>
      <w:divBdr>
        <w:top w:val="none" w:sz="0" w:space="0" w:color="auto"/>
        <w:left w:val="none" w:sz="0" w:space="0" w:color="auto"/>
        <w:bottom w:val="none" w:sz="0" w:space="0" w:color="auto"/>
        <w:right w:val="none" w:sz="0" w:space="0" w:color="auto"/>
      </w:divBdr>
    </w:div>
    <w:div w:id="420227581">
      <w:bodyDiv w:val="1"/>
      <w:marLeft w:val="0"/>
      <w:marRight w:val="0"/>
      <w:marTop w:val="0"/>
      <w:marBottom w:val="0"/>
      <w:divBdr>
        <w:top w:val="none" w:sz="0" w:space="0" w:color="auto"/>
        <w:left w:val="none" w:sz="0" w:space="0" w:color="auto"/>
        <w:bottom w:val="none" w:sz="0" w:space="0" w:color="auto"/>
        <w:right w:val="none" w:sz="0" w:space="0" w:color="auto"/>
      </w:divBdr>
    </w:div>
    <w:div w:id="757865516">
      <w:bodyDiv w:val="1"/>
      <w:marLeft w:val="0"/>
      <w:marRight w:val="0"/>
      <w:marTop w:val="0"/>
      <w:marBottom w:val="0"/>
      <w:divBdr>
        <w:top w:val="none" w:sz="0" w:space="0" w:color="auto"/>
        <w:left w:val="none" w:sz="0" w:space="0" w:color="auto"/>
        <w:bottom w:val="none" w:sz="0" w:space="0" w:color="auto"/>
        <w:right w:val="none" w:sz="0" w:space="0" w:color="auto"/>
      </w:divBdr>
    </w:div>
    <w:div w:id="924269951">
      <w:bodyDiv w:val="1"/>
      <w:marLeft w:val="0"/>
      <w:marRight w:val="0"/>
      <w:marTop w:val="0"/>
      <w:marBottom w:val="0"/>
      <w:divBdr>
        <w:top w:val="none" w:sz="0" w:space="0" w:color="auto"/>
        <w:left w:val="none" w:sz="0" w:space="0" w:color="auto"/>
        <w:bottom w:val="none" w:sz="0" w:space="0" w:color="auto"/>
        <w:right w:val="none" w:sz="0" w:space="0" w:color="auto"/>
      </w:divBdr>
    </w:div>
    <w:div w:id="936984628">
      <w:bodyDiv w:val="1"/>
      <w:marLeft w:val="0"/>
      <w:marRight w:val="0"/>
      <w:marTop w:val="0"/>
      <w:marBottom w:val="0"/>
      <w:divBdr>
        <w:top w:val="none" w:sz="0" w:space="0" w:color="auto"/>
        <w:left w:val="none" w:sz="0" w:space="0" w:color="auto"/>
        <w:bottom w:val="none" w:sz="0" w:space="0" w:color="auto"/>
        <w:right w:val="none" w:sz="0" w:space="0" w:color="auto"/>
      </w:divBdr>
    </w:div>
    <w:div w:id="976421993">
      <w:bodyDiv w:val="1"/>
      <w:marLeft w:val="0"/>
      <w:marRight w:val="0"/>
      <w:marTop w:val="0"/>
      <w:marBottom w:val="0"/>
      <w:divBdr>
        <w:top w:val="none" w:sz="0" w:space="0" w:color="auto"/>
        <w:left w:val="none" w:sz="0" w:space="0" w:color="auto"/>
        <w:bottom w:val="none" w:sz="0" w:space="0" w:color="auto"/>
        <w:right w:val="none" w:sz="0" w:space="0" w:color="auto"/>
      </w:divBdr>
    </w:div>
    <w:div w:id="1508986121">
      <w:bodyDiv w:val="1"/>
      <w:marLeft w:val="0"/>
      <w:marRight w:val="0"/>
      <w:marTop w:val="0"/>
      <w:marBottom w:val="0"/>
      <w:divBdr>
        <w:top w:val="none" w:sz="0" w:space="0" w:color="auto"/>
        <w:left w:val="none" w:sz="0" w:space="0" w:color="auto"/>
        <w:bottom w:val="none" w:sz="0" w:space="0" w:color="auto"/>
        <w:right w:val="none" w:sz="0" w:space="0" w:color="auto"/>
      </w:divBdr>
    </w:div>
    <w:div w:id="1641302743">
      <w:bodyDiv w:val="1"/>
      <w:marLeft w:val="0"/>
      <w:marRight w:val="0"/>
      <w:marTop w:val="0"/>
      <w:marBottom w:val="0"/>
      <w:divBdr>
        <w:top w:val="none" w:sz="0" w:space="0" w:color="auto"/>
        <w:left w:val="none" w:sz="0" w:space="0" w:color="auto"/>
        <w:bottom w:val="none" w:sz="0" w:space="0" w:color="auto"/>
        <w:right w:val="none" w:sz="0" w:space="0" w:color="auto"/>
      </w:divBdr>
    </w:div>
    <w:div w:id="2043629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br.r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4C79A-6DA0-43B3-BCDF-3141D824C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922</Words>
  <Characters>5350</Characters>
  <Application>Microsoft Office Word</Application>
  <DocSecurity>4</DocSecurity>
  <Lines>44</Lines>
  <Paragraphs>12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Grizli777</Company>
  <LinksUpToDate>false</LinksUpToDate>
  <CharactersWithSpaces>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Romarnia1</dc:creator>
  <cp:lastModifiedBy>Daniel Cismaru</cp:lastModifiedBy>
  <cp:revision>2</cp:revision>
  <dcterms:created xsi:type="dcterms:W3CDTF">2024-09-04T10:52:00Z</dcterms:created>
  <dcterms:modified xsi:type="dcterms:W3CDTF">2024-09-04T10:52:00Z</dcterms:modified>
</cp:coreProperties>
</file>