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82018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D33F257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0CE4C13C" w14:textId="77777777" w:rsidR="00A21A96" w:rsidRDefault="00A21A96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3ED5D52B" w14:textId="77777777" w:rsidR="006502C2" w:rsidRPr="00E159ED" w:rsidRDefault="006502C2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C5F9934" w14:textId="77777777" w:rsidR="0004512A" w:rsidRPr="00E159ED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D17D61">
        <w:rPr>
          <w:rFonts w:ascii="Times New Roman" w:hAnsi="Times New Roman"/>
          <w:b/>
          <w:bCs/>
          <w:iCs/>
          <w:sz w:val="28"/>
          <w:szCs w:val="28"/>
          <w:u w:val="single"/>
        </w:rPr>
        <w:t>9</w:t>
      </w:r>
      <w:r w:rsidR="00DF6BAB">
        <w:rPr>
          <w:rFonts w:ascii="Times New Roman" w:hAnsi="Times New Roman"/>
          <w:b/>
          <w:bCs/>
          <w:iCs/>
          <w:sz w:val="28"/>
          <w:szCs w:val="28"/>
          <w:u w:val="single"/>
        </w:rPr>
        <w:t>1</w:t>
      </w:r>
    </w:p>
    <w:p w14:paraId="6A853DC6" w14:textId="77777777" w:rsidR="002A4BBD" w:rsidRPr="00E159ED" w:rsidRDefault="00D17D61" w:rsidP="00874BEE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30 august</w:t>
      </w:r>
      <w:r w:rsidR="0016228E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2024</w:t>
      </w:r>
    </w:p>
    <w:p w14:paraId="149FC5A0" w14:textId="77777777" w:rsidR="00BB55E3" w:rsidRPr="00E159ED" w:rsidRDefault="00BB55E3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6D45CB" w14:textId="77777777" w:rsidR="00B4373B" w:rsidRPr="009010E1" w:rsidRDefault="00383AF6" w:rsidP="00DF6BAB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9010E1">
        <w:rPr>
          <w:rFonts w:ascii="Times New Roman" w:hAnsi="Times New Roman"/>
          <w:i/>
        </w:rPr>
        <w:t>În conformitate cu dispozițiile art. 6</w:t>
      </w:r>
      <w:r w:rsidR="00D73961" w:rsidRPr="009010E1">
        <w:rPr>
          <w:rFonts w:ascii="Times New Roman" w:hAnsi="Times New Roman"/>
          <w:i/>
        </w:rPr>
        <w:t>5</w:t>
      </w:r>
      <w:r w:rsidRPr="009010E1">
        <w:rPr>
          <w:rFonts w:ascii="Times New Roman" w:hAnsi="Times New Roman"/>
          <w:i/>
        </w:rPr>
        <w:t xml:space="preserve"> lit.</w:t>
      </w:r>
      <w:r w:rsidR="00DF6BAB" w:rsidRPr="009010E1">
        <w:rPr>
          <w:rFonts w:ascii="Times New Roman" w:hAnsi="Times New Roman"/>
          <w:i/>
        </w:rPr>
        <w:t xml:space="preserve"> a), c) și ș</w:t>
      </w:r>
      <w:r w:rsidR="001226F7" w:rsidRPr="009010E1">
        <w:rPr>
          <w:rFonts w:ascii="Times New Roman" w:hAnsi="Times New Roman"/>
          <w:i/>
        </w:rPr>
        <w:t>)</w:t>
      </w:r>
      <w:r w:rsidR="006B55BD" w:rsidRPr="009010E1">
        <w:rPr>
          <w:rFonts w:ascii="Times New Roman" w:hAnsi="Times New Roman"/>
          <w:i/>
        </w:rPr>
        <w:t xml:space="preserve"> </w:t>
      </w:r>
      <w:r w:rsidR="005E3A2A" w:rsidRPr="009010E1">
        <w:rPr>
          <w:rFonts w:ascii="Times New Roman" w:hAnsi="Times New Roman"/>
          <w:i/>
        </w:rPr>
        <w:t xml:space="preserve">din Legea nr. 51/1995 privind organizarea și exercitarea profesiei de avocat, cu modificările și completările ulterioare, </w:t>
      </w:r>
    </w:p>
    <w:p w14:paraId="0B1B5F35" w14:textId="1FEFBDA5" w:rsidR="00DF6BAB" w:rsidRPr="002320C9" w:rsidRDefault="00DF6BAB" w:rsidP="00DF6BAB">
      <w:pPr>
        <w:spacing w:line="276" w:lineRule="auto"/>
        <w:ind w:firstLine="567"/>
        <w:jc w:val="both"/>
        <w:rPr>
          <w:rFonts w:ascii="Times New Roman" w:eastAsia="Calibri" w:hAnsi="Times New Roman"/>
          <w:b/>
          <w:bCs/>
          <w:i/>
          <w:lang w:eastAsia="en-US"/>
        </w:rPr>
      </w:pPr>
      <w:r w:rsidRPr="009010E1">
        <w:rPr>
          <w:rFonts w:ascii="Times New Roman" w:eastAsia="Calibri" w:hAnsi="Times New Roman"/>
          <w:i/>
          <w:lang w:eastAsia="en-US"/>
        </w:rPr>
        <w:t xml:space="preserve">Luând act de faptul că, așa cum a decis Consiliul Barourilor și Societăților de Drept din Europa (CCBE), tema Zilei </w:t>
      </w:r>
      <w:r w:rsidR="00AA5F66">
        <w:rPr>
          <w:rFonts w:ascii="Times New Roman" w:eastAsia="Calibri" w:hAnsi="Times New Roman"/>
          <w:i/>
          <w:lang w:eastAsia="en-US"/>
        </w:rPr>
        <w:t>E</w:t>
      </w:r>
      <w:r w:rsidRPr="009010E1">
        <w:rPr>
          <w:rFonts w:ascii="Times New Roman" w:eastAsia="Calibri" w:hAnsi="Times New Roman"/>
          <w:i/>
          <w:lang w:eastAsia="en-US"/>
        </w:rPr>
        <w:t>uropene a Avocaților, din 25 octombrie 2024 este</w:t>
      </w:r>
      <w:r w:rsidR="00AA5F66">
        <w:rPr>
          <w:rFonts w:ascii="Times New Roman" w:eastAsia="Calibri" w:hAnsi="Times New Roman"/>
          <w:i/>
          <w:lang w:eastAsia="en-US"/>
        </w:rPr>
        <w:t xml:space="preserve"> următoarea</w:t>
      </w:r>
      <w:r w:rsidRPr="009010E1">
        <w:rPr>
          <w:rFonts w:ascii="Times New Roman" w:eastAsia="Calibri" w:hAnsi="Times New Roman"/>
          <w:i/>
          <w:lang w:eastAsia="en-US"/>
        </w:rPr>
        <w:t xml:space="preserve">: </w:t>
      </w:r>
      <w:r w:rsidRPr="002320C9">
        <w:rPr>
          <w:rFonts w:ascii="Times New Roman" w:eastAsia="Calibri" w:hAnsi="Times New Roman"/>
          <w:b/>
          <w:bCs/>
          <w:i/>
          <w:lang w:eastAsia="en-US"/>
        </w:rPr>
        <w:t>„Avocați independenți, democrații mai puternice: importanța autoreglementării”.</w:t>
      </w:r>
    </w:p>
    <w:p w14:paraId="34201B4B" w14:textId="77777777" w:rsidR="00DF6BAB" w:rsidRPr="009010E1" w:rsidRDefault="00DF6BAB" w:rsidP="00465D2A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9010E1">
        <w:rPr>
          <w:rFonts w:ascii="Times New Roman" w:hAnsi="Times New Roman"/>
          <w:i/>
        </w:rPr>
        <w:t>La propunerea Comisiei Permanente, din 28</w:t>
      </w:r>
      <w:r w:rsidR="0030136B">
        <w:rPr>
          <w:rFonts w:ascii="Times New Roman" w:hAnsi="Times New Roman"/>
          <w:i/>
        </w:rPr>
        <w:t xml:space="preserve"> </w:t>
      </w:r>
      <w:r w:rsidRPr="009010E1">
        <w:rPr>
          <w:rFonts w:ascii="Times New Roman" w:hAnsi="Times New Roman"/>
          <w:i/>
        </w:rPr>
        <w:t>august 2024</w:t>
      </w:r>
    </w:p>
    <w:p w14:paraId="4EC3D813" w14:textId="77777777" w:rsidR="00383AF6" w:rsidRPr="009010E1" w:rsidRDefault="00383AF6" w:rsidP="009010E1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9010E1">
        <w:rPr>
          <w:rFonts w:ascii="Times New Roman" w:hAnsi="Times New Roman"/>
          <w:i/>
        </w:rPr>
        <w:t>Consiliul</w:t>
      </w:r>
      <w:r w:rsidR="006B55BD" w:rsidRPr="009010E1">
        <w:rPr>
          <w:rFonts w:ascii="Times New Roman" w:eastAsia="Calibri" w:hAnsi="Times New Roman"/>
          <w:i/>
          <w:lang w:eastAsia="en-US"/>
        </w:rPr>
        <w:t xml:space="preserve"> UNBR</w:t>
      </w:r>
      <w:r w:rsidRPr="009010E1">
        <w:rPr>
          <w:rFonts w:ascii="Times New Roman" w:hAnsi="Times New Roman"/>
          <w:i/>
        </w:rPr>
        <w:t xml:space="preserve">, întrunit în </w:t>
      </w:r>
      <w:r w:rsidR="005E3A2A" w:rsidRPr="009010E1">
        <w:rPr>
          <w:rFonts w:ascii="Times New Roman" w:hAnsi="Times New Roman"/>
          <w:i/>
        </w:rPr>
        <w:t>ședința</w:t>
      </w:r>
      <w:r w:rsidRPr="009010E1">
        <w:rPr>
          <w:rFonts w:ascii="Times New Roman" w:hAnsi="Times New Roman"/>
          <w:i/>
        </w:rPr>
        <w:t xml:space="preserve"> </w:t>
      </w:r>
      <w:r w:rsidR="004014D2" w:rsidRPr="009010E1">
        <w:rPr>
          <w:rFonts w:ascii="Times New Roman" w:hAnsi="Times New Roman"/>
          <w:i/>
        </w:rPr>
        <w:t xml:space="preserve">din </w:t>
      </w:r>
      <w:r w:rsidR="00041F5B" w:rsidRPr="009010E1">
        <w:rPr>
          <w:rFonts w:ascii="Times New Roman" w:hAnsi="Times New Roman"/>
          <w:b/>
          <w:bCs/>
          <w:i/>
        </w:rPr>
        <w:t>30 august 2024</w:t>
      </w:r>
      <w:r w:rsidR="004014D2" w:rsidRPr="009010E1">
        <w:rPr>
          <w:rFonts w:ascii="Times New Roman" w:hAnsi="Times New Roman"/>
          <w:i/>
        </w:rPr>
        <w:t xml:space="preserve">, </w:t>
      </w:r>
      <w:r w:rsidRPr="009010E1">
        <w:rPr>
          <w:rFonts w:ascii="Times New Roman" w:hAnsi="Times New Roman"/>
          <w:i/>
        </w:rPr>
        <w:t>adoptă prezenta:</w:t>
      </w:r>
    </w:p>
    <w:p w14:paraId="4A4523D9" w14:textId="77777777" w:rsidR="00383AF6" w:rsidRPr="009010E1" w:rsidRDefault="00383AF6" w:rsidP="00DD5B29">
      <w:pPr>
        <w:spacing w:line="276" w:lineRule="auto"/>
        <w:jc w:val="center"/>
        <w:rPr>
          <w:rFonts w:ascii="Times New Roman" w:hAnsi="Times New Roman"/>
          <w:b/>
        </w:rPr>
      </w:pPr>
    </w:p>
    <w:p w14:paraId="597D1898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2F25541D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18AEA8" w14:textId="13298424" w:rsidR="009010E1" w:rsidRPr="009010E1" w:rsidRDefault="00383AF6" w:rsidP="009010E1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010E1">
        <w:rPr>
          <w:rFonts w:ascii="Times New Roman" w:hAnsi="Times New Roman"/>
        </w:rPr>
        <w:tab/>
      </w:r>
      <w:r w:rsidRPr="009010E1">
        <w:rPr>
          <w:rFonts w:ascii="Times New Roman" w:hAnsi="Times New Roman"/>
          <w:b/>
          <w:bCs/>
        </w:rPr>
        <w:t xml:space="preserve">Art. 1 </w:t>
      </w:r>
      <w:r w:rsidR="00312AC7" w:rsidRPr="009010E1">
        <w:rPr>
          <w:rFonts w:ascii="Times New Roman" w:hAnsi="Times New Roman"/>
          <w:b/>
          <w:bCs/>
        </w:rPr>
        <w:t>–</w:t>
      </w:r>
      <w:r w:rsidR="004A13DB" w:rsidRPr="009010E1">
        <w:rPr>
          <w:rFonts w:ascii="Times New Roman" w:hAnsi="Times New Roman"/>
          <w:b/>
          <w:bCs/>
        </w:rPr>
        <w:t xml:space="preserve"> </w:t>
      </w:r>
      <w:r w:rsidR="009010E1" w:rsidRPr="009010E1">
        <w:rPr>
          <w:rFonts w:ascii="Times New Roman" w:hAnsi="Times New Roman"/>
          <w:b/>
          <w:bCs/>
        </w:rPr>
        <w:t>(1)</w:t>
      </w:r>
      <w:r w:rsidR="009010E1" w:rsidRPr="009010E1">
        <w:rPr>
          <w:rFonts w:ascii="Times New Roman" w:hAnsi="Times New Roman"/>
        </w:rPr>
        <w:t xml:space="preserve"> Uniunea Naționala a Barourilor din România (UNBR) organizează și promovează, la nivel național, evenimentele dedicate Zilei Europe</w:t>
      </w:r>
      <w:r w:rsidR="002A27E2">
        <w:rPr>
          <w:rFonts w:ascii="Times New Roman" w:hAnsi="Times New Roman"/>
        </w:rPr>
        <w:t>ne a Avocaților.</w:t>
      </w:r>
    </w:p>
    <w:p w14:paraId="3BF13FDE" w14:textId="77777777" w:rsidR="00D5441A" w:rsidRDefault="009010E1" w:rsidP="009010E1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010E1">
        <w:rPr>
          <w:rFonts w:ascii="Times New Roman" w:hAnsi="Times New Roman"/>
          <w:b/>
          <w:bCs/>
        </w:rPr>
        <w:t>(2)</w:t>
      </w:r>
      <w:r w:rsidRPr="009010E1">
        <w:rPr>
          <w:rFonts w:ascii="Times New Roman" w:hAnsi="Times New Roman"/>
        </w:rPr>
        <w:t xml:space="preserve"> </w:t>
      </w:r>
      <w:r w:rsidR="00D5441A" w:rsidRPr="009010E1">
        <w:rPr>
          <w:rFonts w:ascii="Times New Roman" w:hAnsi="Times New Roman"/>
        </w:rPr>
        <w:t>Tematica, afișul, logo-</w:t>
      </w:r>
      <w:proofErr w:type="spellStart"/>
      <w:r w:rsidR="00D5441A" w:rsidRPr="009010E1">
        <w:rPr>
          <w:rFonts w:ascii="Times New Roman" w:hAnsi="Times New Roman"/>
        </w:rPr>
        <w:t>ul</w:t>
      </w:r>
      <w:proofErr w:type="spellEnd"/>
      <w:r w:rsidR="00D5441A" w:rsidRPr="009010E1">
        <w:rPr>
          <w:rFonts w:ascii="Times New Roman" w:hAnsi="Times New Roman"/>
        </w:rPr>
        <w:t xml:space="preserve"> și toate datele necesare pregătirii evenimentelor se găsesc la pagina web a CCBE: </w:t>
      </w:r>
      <w:hyperlink r:id="rId7" w:history="1">
        <w:r w:rsidR="00D5441A" w:rsidRPr="00AD7D74">
          <w:rPr>
            <w:rStyle w:val="Hyperlink"/>
            <w:rFonts w:ascii="Times New Roman" w:hAnsi="Times New Roman"/>
          </w:rPr>
          <w:t>https://www.ccbe.eu/actions/european-lawyers-day/</w:t>
        </w:r>
      </w:hyperlink>
      <w:r w:rsidR="00D5441A">
        <w:rPr>
          <w:rFonts w:ascii="Times New Roman" w:hAnsi="Times New Roman"/>
        </w:rPr>
        <w:t xml:space="preserve"> .</w:t>
      </w:r>
    </w:p>
    <w:p w14:paraId="312C0383" w14:textId="77777777" w:rsidR="009010E1" w:rsidRPr="00D5441A" w:rsidRDefault="00D5441A" w:rsidP="009010E1">
      <w:pPr>
        <w:spacing w:line="276" w:lineRule="auto"/>
        <w:ind w:firstLine="567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  <w:b/>
          <w:bCs/>
        </w:rPr>
        <w:t>(3)</w:t>
      </w:r>
      <w:r>
        <w:rPr>
          <w:rFonts w:ascii="Times New Roman" w:hAnsi="Times New Roman"/>
        </w:rPr>
        <w:t xml:space="preserve"> </w:t>
      </w:r>
      <w:r w:rsidRPr="00D5441A">
        <w:rPr>
          <w:rFonts w:ascii="Times New Roman" w:hAnsi="Times New Roman"/>
        </w:rPr>
        <w:t xml:space="preserve">Cu această ocazie, UNBR va pregăti o conferință tematică și o ediție specială a revistei „Avocatul” pe tema recomandată de CCBE, în care se va evidenția importanța asigurării și păstrării independenței în beneficiul drepturilor cetățenilor și </w:t>
      </w:r>
      <w:r>
        <w:rPr>
          <w:rFonts w:ascii="Times New Roman" w:hAnsi="Times New Roman"/>
        </w:rPr>
        <w:t>se va</w:t>
      </w:r>
      <w:r w:rsidRPr="00D5441A">
        <w:rPr>
          <w:rFonts w:ascii="Times New Roman" w:hAnsi="Times New Roman"/>
        </w:rPr>
        <w:t xml:space="preserve"> reitera necesitatea unei Convenții europene obligatorii privind profesia de avocat pentru a păstra independența, integritatea justiției și a statului de drept. În plus, vor fi abordate o serie de alte teme derivate din tema principală, precum:</w:t>
      </w:r>
      <w:r>
        <w:rPr>
          <w:rFonts w:ascii="Times New Roman" w:hAnsi="Times New Roman"/>
        </w:rPr>
        <w:t xml:space="preserve"> </w:t>
      </w:r>
    </w:p>
    <w:p w14:paraId="008F8698" w14:textId="77777777" w:rsidR="00D5441A" w:rsidRPr="00D5441A" w:rsidRDefault="00D5441A" w:rsidP="00D5441A">
      <w:pPr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</w:rPr>
        <w:t>Amenințări și provocări actuale la adresa independenței avocatului</w:t>
      </w:r>
    </w:p>
    <w:p w14:paraId="1D2B2C12" w14:textId="77777777" w:rsidR="00D5441A" w:rsidRPr="00D5441A" w:rsidRDefault="00D5441A" w:rsidP="00D5441A">
      <w:pPr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</w:rPr>
        <w:t>Garanțiile independenței avocaților</w:t>
      </w:r>
    </w:p>
    <w:p w14:paraId="1C466085" w14:textId="77777777" w:rsidR="00D5441A" w:rsidRPr="00D5441A" w:rsidRDefault="00D5441A" w:rsidP="00D5441A">
      <w:pPr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</w:rPr>
        <w:t>Autoreglementarea profesiei ca garanție a independenței barourilor și a avocaților</w:t>
      </w:r>
    </w:p>
    <w:p w14:paraId="52F19336" w14:textId="77777777" w:rsidR="00D5441A" w:rsidRPr="00D5441A" w:rsidRDefault="00D5441A" w:rsidP="00D5441A">
      <w:pPr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</w:rPr>
        <w:t>Hotărâri CtEDO și CJUE referitoare la independența avocatului</w:t>
      </w:r>
    </w:p>
    <w:p w14:paraId="18A96C5A" w14:textId="77777777" w:rsidR="00D5441A" w:rsidRPr="00D5441A" w:rsidRDefault="00D5441A" w:rsidP="00D5441A">
      <w:pPr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</w:rPr>
        <w:t>Prevederi legale și proiecte de lege cu impact asupra independenței avocaților și a profesiei (Ex: Reglementări privind spălarea banilor, AMLA etc.)</w:t>
      </w:r>
    </w:p>
    <w:p w14:paraId="36AE7FE1" w14:textId="77777777" w:rsidR="009010E1" w:rsidRPr="00D5441A" w:rsidRDefault="00D5441A" w:rsidP="00D5441A">
      <w:pPr>
        <w:numPr>
          <w:ilvl w:val="0"/>
          <w:numId w:val="13"/>
        </w:numPr>
        <w:spacing w:line="276" w:lineRule="auto"/>
        <w:ind w:left="1134" w:firstLine="0"/>
        <w:jc w:val="both"/>
        <w:rPr>
          <w:rFonts w:ascii="Times New Roman" w:hAnsi="Times New Roman"/>
        </w:rPr>
      </w:pPr>
      <w:r w:rsidRPr="00D5441A">
        <w:rPr>
          <w:rFonts w:ascii="Times New Roman" w:hAnsi="Times New Roman"/>
        </w:rPr>
        <w:t>Impactul reglementărilor europene privind liberalizarea profesiilor reglementate asupra independenței avocatului și a profesiei etc.</w:t>
      </w:r>
    </w:p>
    <w:p w14:paraId="5F6CA3A4" w14:textId="77777777" w:rsidR="009010E1" w:rsidRPr="009010E1" w:rsidRDefault="009010E1" w:rsidP="009010E1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010E1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2</w:t>
      </w:r>
      <w:r w:rsidRPr="009010E1">
        <w:rPr>
          <w:rFonts w:ascii="Times New Roman" w:hAnsi="Times New Roman"/>
          <w:b/>
          <w:bCs/>
        </w:rPr>
        <w:t xml:space="preserve"> – </w:t>
      </w:r>
      <w:r w:rsidR="00D5441A" w:rsidRPr="00D5441A">
        <w:rPr>
          <w:rFonts w:ascii="Times New Roman" w:hAnsi="Times New Roman"/>
        </w:rPr>
        <w:t>Barourile sunt invitate să organizeze astfel de evenimente la nivel local</w:t>
      </w:r>
      <w:r w:rsidR="00D5441A">
        <w:rPr>
          <w:rFonts w:ascii="Times New Roman" w:hAnsi="Times New Roman"/>
        </w:rPr>
        <w:t xml:space="preserve"> și</w:t>
      </w:r>
      <w:r w:rsidRPr="009010E1">
        <w:rPr>
          <w:rFonts w:ascii="Times New Roman" w:hAnsi="Times New Roman"/>
        </w:rPr>
        <w:t xml:space="preserve"> sunt rugate să </w:t>
      </w:r>
      <w:r w:rsidR="006502C2">
        <w:rPr>
          <w:rFonts w:ascii="Times New Roman" w:hAnsi="Times New Roman"/>
        </w:rPr>
        <w:t xml:space="preserve">le </w:t>
      </w:r>
      <w:r w:rsidRPr="009010E1">
        <w:rPr>
          <w:rFonts w:ascii="Times New Roman" w:hAnsi="Times New Roman"/>
        </w:rPr>
        <w:t xml:space="preserve">aducă la cunoștința UNBR, pentru a fi promovate prin </w:t>
      </w:r>
      <w:r w:rsidR="0030136B" w:rsidRPr="009010E1">
        <w:rPr>
          <w:rFonts w:ascii="Times New Roman" w:hAnsi="Times New Roman"/>
        </w:rPr>
        <w:t>comunicări</w:t>
      </w:r>
      <w:r w:rsidRPr="009010E1">
        <w:rPr>
          <w:rFonts w:ascii="Times New Roman" w:hAnsi="Times New Roman"/>
        </w:rPr>
        <w:t xml:space="preserve"> </w:t>
      </w:r>
      <w:r w:rsidR="0030136B" w:rsidRPr="009010E1">
        <w:rPr>
          <w:rFonts w:ascii="Times New Roman" w:hAnsi="Times New Roman"/>
        </w:rPr>
        <w:t>făcute</w:t>
      </w:r>
      <w:r w:rsidRPr="009010E1">
        <w:rPr>
          <w:rFonts w:ascii="Times New Roman" w:hAnsi="Times New Roman"/>
        </w:rPr>
        <w:t xml:space="preserve"> pe pagina web a UNBR, în secțiunea special dedicată Zilei Europene a Avocaților.</w:t>
      </w:r>
    </w:p>
    <w:p w14:paraId="65CEC0AA" w14:textId="0496FB96" w:rsidR="0024291E" w:rsidRPr="009010E1" w:rsidRDefault="009010E1" w:rsidP="009010E1">
      <w:pPr>
        <w:spacing w:line="276" w:lineRule="auto"/>
        <w:ind w:firstLine="567"/>
        <w:jc w:val="both"/>
        <w:rPr>
          <w:rFonts w:ascii="Times New Roman" w:hAnsi="Times New Roman"/>
          <w:bCs/>
        </w:rPr>
      </w:pPr>
      <w:r w:rsidRPr="009010E1">
        <w:rPr>
          <w:rFonts w:ascii="Times New Roman" w:hAnsi="Times New Roman"/>
        </w:rPr>
        <w:tab/>
      </w:r>
      <w:r w:rsidRPr="009010E1">
        <w:rPr>
          <w:rFonts w:ascii="Times New Roman" w:hAnsi="Times New Roman"/>
          <w:b/>
          <w:bCs/>
        </w:rPr>
        <w:t>Art. 3</w:t>
      </w:r>
      <w:r w:rsidRPr="009010E1">
        <w:rPr>
          <w:rFonts w:ascii="Times New Roman" w:hAnsi="Times New Roman"/>
        </w:rPr>
        <w:t xml:space="preserve"> </w:t>
      </w:r>
      <w:r w:rsidRPr="009010E1">
        <w:rPr>
          <w:rFonts w:ascii="Times New Roman" w:hAnsi="Times New Roman"/>
          <w:b/>
          <w:bCs/>
        </w:rPr>
        <w:t>–</w:t>
      </w:r>
      <w:r w:rsidR="00D5441A">
        <w:rPr>
          <w:rFonts w:ascii="Times New Roman" w:hAnsi="Times New Roman"/>
          <w:b/>
          <w:bCs/>
        </w:rPr>
        <w:t xml:space="preserve"> </w:t>
      </w:r>
      <w:r w:rsidR="00143FCF" w:rsidRPr="009010E1">
        <w:rPr>
          <w:rFonts w:ascii="Times New Roman" w:hAnsi="Times New Roman"/>
        </w:rPr>
        <w:t>Prezenta hotărâre se comunică membrilor Consiliului UNBR</w:t>
      </w:r>
      <w:r w:rsidR="00B674F3">
        <w:rPr>
          <w:rFonts w:ascii="Times New Roman" w:hAnsi="Times New Roman"/>
        </w:rPr>
        <w:t>,</w:t>
      </w:r>
      <w:r w:rsidR="00D5441A">
        <w:rPr>
          <w:rFonts w:ascii="Times New Roman" w:hAnsi="Times New Roman"/>
        </w:rPr>
        <w:t xml:space="preserve"> </w:t>
      </w:r>
      <w:r w:rsidR="00B674F3">
        <w:rPr>
          <w:rFonts w:ascii="Times New Roman" w:hAnsi="Times New Roman"/>
        </w:rPr>
        <w:t>b</w:t>
      </w:r>
      <w:r w:rsidR="00D5441A">
        <w:rPr>
          <w:rFonts w:ascii="Times New Roman" w:hAnsi="Times New Roman"/>
        </w:rPr>
        <w:t xml:space="preserve">arourilor </w:t>
      </w:r>
      <w:r w:rsidR="00D3331D" w:rsidRPr="009010E1">
        <w:rPr>
          <w:rFonts w:ascii="Times New Roman" w:hAnsi="Times New Roman"/>
          <w:bCs/>
        </w:rPr>
        <w:t>și</w:t>
      </w:r>
      <w:r w:rsidR="00143FCF" w:rsidRPr="009010E1">
        <w:rPr>
          <w:rFonts w:ascii="Times New Roman" w:hAnsi="Times New Roman"/>
          <w:bCs/>
        </w:rPr>
        <w:t xml:space="preserve"> se afișează pe website-</w:t>
      </w:r>
      <w:proofErr w:type="spellStart"/>
      <w:r w:rsidR="00143FCF" w:rsidRPr="009010E1">
        <w:rPr>
          <w:rFonts w:ascii="Times New Roman" w:hAnsi="Times New Roman"/>
          <w:bCs/>
        </w:rPr>
        <w:t>ul</w:t>
      </w:r>
      <w:proofErr w:type="spellEnd"/>
      <w:r w:rsidR="00143FCF" w:rsidRPr="009010E1">
        <w:rPr>
          <w:rFonts w:ascii="Times New Roman" w:hAnsi="Times New Roman"/>
          <w:bCs/>
        </w:rPr>
        <w:t xml:space="preserve"> </w:t>
      </w:r>
      <w:hyperlink r:id="rId8" w:history="1">
        <w:r w:rsidR="00143FCF" w:rsidRPr="009010E1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9010E1">
        <w:rPr>
          <w:rFonts w:ascii="Times New Roman" w:hAnsi="Times New Roman"/>
          <w:bCs/>
        </w:rPr>
        <w:t xml:space="preserve"> .</w:t>
      </w:r>
    </w:p>
    <w:p w14:paraId="47C21DC9" w14:textId="77777777" w:rsidR="00AB7AB6" w:rsidRDefault="00AB7AB6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7CFD94AA" w14:textId="77777777" w:rsidR="0030136B" w:rsidRDefault="0030136B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2E9644C4" w14:textId="77777777" w:rsidR="00067C93" w:rsidRDefault="00067C93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273D2623" w14:textId="6370E407" w:rsidR="00F34191" w:rsidRPr="000E1A10" w:rsidRDefault="00657F6F" w:rsidP="00F34191">
      <w:pPr>
        <w:ind w:right="2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C O N S I L I U L</w:t>
      </w:r>
      <w:r w:rsidR="00F34191" w:rsidRPr="000E1A10">
        <w:rPr>
          <w:rFonts w:ascii="Times New Roman" w:hAnsi="Times New Roman"/>
          <w:b/>
          <w:sz w:val="28"/>
          <w:szCs w:val="28"/>
        </w:rPr>
        <w:t xml:space="preserve">    U.N.B.R.</w:t>
      </w:r>
    </w:p>
    <w:sectPr w:rsidR="00F34191" w:rsidRPr="000E1A10" w:rsidSect="00BB55E3">
      <w:footerReference w:type="even" r:id="rId9"/>
      <w:footerReference w:type="default" r:id="rId10"/>
      <w:pgSz w:w="11909" w:h="16834" w:code="9"/>
      <w:pgMar w:top="709" w:right="852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38005" w14:textId="77777777" w:rsidR="001F6270" w:rsidRDefault="001F6270">
      <w:r>
        <w:separator/>
      </w:r>
    </w:p>
  </w:endnote>
  <w:endnote w:type="continuationSeparator" w:id="0">
    <w:p w14:paraId="718AA8F7" w14:textId="77777777" w:rsidR="001F6270" w:rsidRDefault="001F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DFCB6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74AC8F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C05D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11F32" w14:textId="77777777" w:rsidR="001F6270" w:rsidRDefault="001F6270">
      <w:r>
        <w:separator/>
      </w:r>
    </w:p>
  </w:footnote>
  <w:footnote w:type="continuationSeparator" w:id="0">
    <w:p w14:paraId="29368C69" w14:textId="77777777" w:rsidR="001F6270" w:rsidRDefault="001F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D51456"/>
    <w:multiLevelType w:val="hybridMultilevel"/>
    <w:tmpl w:val="AA9008A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03A416A"/>
    <w:multiLevelType w:val="hybridMultilevel"/>
    <w:tmpl w:val="7E84335E"/>
    <w:lvl w:ilvl="0" w:tplc="425E8DF6">
      <w:numFmt w:val="bullet"/>
      <w:lvlText w:val="●"/>
      <w:lvlJc w:val="left"/>
      <w:pPr>
        <w:ind w:left="927" w:hanging="360"/>
      </w:pPr>
      <w:rPr>
        <w:rFonts w:ascii="SimSun" w:eastAsia="SimSun" w:hAnsi="SimSun" w:cs="Times New Roman" w:hint="eastAsia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2551437">
    <w:abstractNumId w:val="6"/>
  </w:num>
  <w:num w:numId="2" w16cid:durableId="461190261">
    <w:abstractNumId w:val="9"/>
  </w:num>
  <w:num w:numId="3" w16cid:durableId="680931814">
    <w:abstractNumId w:val="0"/>
  </w:num>
  <w:num w:numId="4" w16cid:durableId="2122410035">
    <w:abstractNumId w:val="5"/>
  </w:num>
  <w:num w:numId="5" w16cid:durableId="1158380703">
    <w:abstractNumId w:val="13"/>
  </w:num>
  <w:num w:numId="6" w16cid:durableId="981889437">
    <w:abstractNumId w:val="7"/>
  </w:num>
  <w:num w:numId="7" w16cid:durableId="1900165009">
    <w:abstractNumId w:val="4"/>
  </w:num>
  <w:num w:numId="8" w16cid:durableId="1784417650">
    <w:abstractNumId w:val="2"/>
  </w:num>
  <w:num w:numId="9" w16cid:durableId="187063749">
    <w:abstractNumId w:val="1"/>
  </w:num>
  <w:num w:numId="10" w16cid:durableId="460609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0335596">
    <w:abstractNumId w:val="3"/>
  </w:num>
  <w:num w:numId="12" w16cid:durableId="72120987">
    <w:abstractNumId w:val="11"/>
  </w:num>
  <w:num w:numId="13" w16cid:durableId="1499809043">
    <w:abstractNumId w:val="10"/>
  </w:num>
  <w:num w:numId="14" w16cid:durableId="613755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1F5B"/>
    <w:rsid w:val="0004512A"/>
    <w:rsid w:val="000526BF"/>
    <w:rsid w:val="00064EB6"/>
    <w:rsid w:val="000662DA"/>
    <w:rsid w:val="00067C93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C4FE3"/>
    <w:rsid w:val="000E1A10"/>
    <w:rsid w:val="000F101C"/>
    <w:rsid w:val="000F3AF4"/>
    <w:rsid w:val="00111000"/>
    <w:rsid w:val="00112BAF"/>
    <w:rsid w:val="00120153"/>
    <w:rsid w:val="001226F7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4126"/>
    <w:rsid w:val="0018468E"/>
    <w:rsid w:val="00191839"/>
    <w:rsid w:val="001A6A00"/>
    <w:rsid w:val="001A7D8E"/>
    <w:rsid w:val="001B259F"/>
    <w:rsid w:val="001D345A"/>
    <w:rsid w:val="001E2E8F"/>
    <w:rsid w:val="001E3AB1"/>
    <w:rsid w:val="001E4022"/>
    <w:rsid w:val="001F2110"/>
    <w:rsid w:val="001F6270"/>
    <w:rsid w:val="001F6AAC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20C9"/>
    <w:rsid w:val="0023457E"/>
    <w:rsid w:val="00236627"/>
    <w:rsid w:val="0024291E"/>
    <w:rsid w:val="00247E84"/>
    <w:rsid w:val="00251A8C"/>
    <w:rsid w:val="002702F6"/>
    <w:rsid w:val="002776D0"/>
    <w:rsid w:val="002935AB"/>
    <w:rsid w:val="002A27E2"/>
    <w:rsid w:val="002A4BBD"/>
    <w:rsid w:val="002A7AA7"/>
    <w:rsid w:val="002B2D95"/>
    <w:rsid w:val="002C7552"/>
    <w:rsid w:val="002D464E"/>
    <w:rsid w:val="002D58D4"/>
    <w:rsid w:val="002E6792"/>
    <w:rsid w:val="002E7D03"/>
    <w:rsid w:val="002F75AB"/>
    <w:rsid w:val="0030136B"/>
    <w:rsid w:val="00301BC0"/>
    <w:rsid w:val="003027CB"/>
    <w:rsid w:val="003066DD"/>
    <w:rsid w:val="00310483"/>
    <w:rsid w:val="00312AC7"/>
    <w:rsid w:val="00335BE1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D7B66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D6659"/>
    <w:rsid w:val="004E3EE3"/>
    <w:rsid w:val="004E755C"/>
    <w:rsid w:val="00503749"/>
    <w:rsid w:val="00503A55"/>
    <w:rsid w:val="00505143"/>
    <w:rsid w:val="005059B7"/>
    <w:rsid w:val="00520F96"/>
    <w:rsid w:val="0052619D"/>
    <w:rsid w:val="00530CEF"/>
    <w:rsid w:val="00534AB1"/>
    <w:rsid w:val="00544C14"/>
    <w:rsid w:val="00551332"/>
    <w:rsid w:val="005531F8"/>
    <w:rsid w:val="0055552F"/>
    <w:rsid w:val="00555640"/>
    <w:rsid w:val="00557AAE"/>
    <w:rsid w:val="005657C2"/>
    <w:rsid w:val="00582613"/>
    <w:rsid w:val="00585A9B"/>
    <w:rsid w:val="005A32F8"/>
    <w:rsid w:val="005A71CE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4311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02C2"/>
    <w:rsid w:val="006528BC"/>
    <w:rsid w:val="00657F6F"/>
    <w:rsid w:val="00676B35"/>
    <w:rsid w:val="00684554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2BF9"/>
    <w:rsid w:val="00714E98"/>
    <w:rsid w:val="00736C4F"/>
    <w:rsid w:val="00752BEE"/>
    <w:rsid w:val="0075413D"/>
    <w:rsid w:val="0076776B"/>
    <w:rsid w:val="00771074"/>
    <w:rsid w:val="00775A81"/>
    <w:rsid w:val="007926BB"/>
    <w:rsid w:val="0079374A"/>
    <w:rsid w:val="0079794A"/>
    <w:rsid w:val="007A3FB2"/>
    <w:rsid w:val="007A7F48"/>
    <w:rsid w:val="007C0766"/>
    <w:rsid w:val="007C147A"/>
    <w:rsid w:val="007C2E49"/>
    <w:rsid w:val="007C7090"/>
    <w:rsid w:val="007D4709"/>
    <w:rsid w:val="007E2B38"/>
    <w:rsid w:val="007E2CD1"/>
    <w:rsid w:val="007E4017"/>
    <w:rsid w:val="008067C7"/>
    <w:rsid w:val="0081135B"/>
    <w:rsid w:val="00812D8F"/>
    <w:rsid w:val="00813681"/>
    <w:rsid w:val="00813731"/>
    <w:rsid w:val="00823887"/>
    <w:rsid w:val="00826069"/>
    <w:rsid w:val="00830F87"/>
    <w:rsid w:val="008349A5"/>
    <w:rsid w:val="00834E61"/>
    <w:rsid w:val="008741D7"/>
    <w:rsid w:val="00874441"/>
    <w:rsid w:val="00874BEE"/>
    <w:rsid w:val="00882CB5"/>
    <w:rsid w:val="0089193A"/>
    <w:rsid w:val="008919CD"/>
    <w:rsid w:val="008B6D37"/>
    <w:rsid w:val="008C23DF"/>
    <w:rsid w:val="008C542C"/>
    <w:rsid w:val="008D5BB2"/>
    <w:rsid w:val="008E1727"/>
    <w:rsid w:val="008E4FD4"/>
    <w:rsid w:val="008F23A1"/>
    <w:rsid w:val="008F3A13"/>
    <w:rsid w:val="009010E1"/>
    <w:rsid w:val="0090177A"/>
    <w:rsid w:val="00906DBF"/>
    <w:rsid w:val="00911009"/>
    <w:rsid w:val="009134F8"/>
    <w:rsid w:val="00932928"/>
    <w:rsid w:val="00940CC3"/>
    <w:rsid w:val="0094336D"/>
    <w:rsid w:val="00943E24"/>
    <w:rsid w:val="00943E8C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86218"/>
    <w:rsid w:val="0099196B"/>
    <w:rsid w:val="009A0094"/>
    <w:rsid w:val="009A2E80"/>
    <w:rsid w:val="009A37CC"/>
    <w:rsid w:val="009B6CAC"/>
    <w:rsid w:val="009C18FD"/>
    <w:rsid w:val="009D26ED"/>
    <w:rsid w:val="009D5C83"/>
    <w:rsid w:val="009D78D5"/>
    <w:rsid w:val="009E76E5"/>
    <w:rsid w:val="009F09E3"/>
    <w:rsid w:val="00A21A96"/>
    <w:rsid w:val="00A23240"/>
    <w:rsid w:val="00A2405A"/>
    <w:rsid w:val="00A26D4C"/>
    <w:rsid w:val="00A40421"/>
    <w:rsid w:val="00A43C54"/>
    <w:rsid w:val="00A646A5"/>
    <w:rsid w:val="00A65A78"/>
    <w:rsid w:val="00A777E8"/>
    <w:rsid w:val="00AA2D47"/>
    <w:rsid w:val="00AA4AE6"/>
    <w:rsid w:val="00AA5F66"/>
    <w:rsid w:val="00AB41A0"/>
    <w:rsid w:val="00AB7AB6"/>
    <w:rsid w:val="00AC7170"/>
    <w:rsid w:val="00AD4893"/>
    <w:rsid w:val="00AD662B"/>
    <w:rsid w:val="00AD6F0C"/>
    <w:rsid w:val="00AD6F63"/>
    <w:rsid w:val="00AD7580"/>
    <w:rsid w:val="00AE0505"/>
    <w:rsid w:val="00AE4A84"/>
    <w:rsid w:val="00B01B62"/>
    <w:rsid w:val="00B049F9"/>
    <w:rsid w:val="00B14195"/>
    <w:rsid w:val="00B1565B"/>
    <w:rsid w:val="00B16F28"/>
    <w:rsid w:val="00B34674"/>
    <w:rsid w:val="00B40367"/>
    <w:rsid w:val="00B41F2A"/>
    <w:rsid w:val="00B4373B"/>
    <w:rsid w:val="00B43774"/>
    <w:rsid w:val="00B629F5"/>
    <w:rsid w:val="00B64D79"/>
    <w:rsid w:val="00B674F3"/>
    <w:rsid w:val="00B67CAA"/>
    <w:rsid w:val="00B97A36"/>
    <w:rsid w:val="00B97FF0"/>
    <w:rsid w:val="00BA2652"/>
    <w:rsid w:val="00BA3FE2"/>
    <w:rsid w:val="00BB070D"/>
    <w:rsid w:val="00BB55E3"/>
    <w:rsid w:val="00BB59A8"/>
    <w:rsid w:val="00BC0D10"/>
    <w:rsid w:val="00BE0E58"/>
    <w:rsid w:val="00BE12F5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5633"/>
    <w:rsid w:val="00D071EF"/>
    <w:rsid w:val="00D102B2"/>
    <w:rsid w:val="00D151D9"/>
    <w:rsid w:val="00D15714"/>
    <w:rsid w:val="00D17D61"/>
    <w:rsid w:val="00D20D3F"/>
    <w:rsid w:val="00D2236C"/>
    <w:rsid w:val="00D23254"/>
    <w:rsid w:val="00D3331D"/>
    <w:rsid w:val="00D355D3"/>
    <w:rsid w:val="00D37B74"/>
    <w:rsid w:val="00D5441A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DF6BAB"/>
    <w:rsid w:val="00E07AD0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D67D4"/>
    <w:rsid w:val="00EE02F9"/>
    <w:rsid w:val="00EE069A"/>
    <w:rsid w:val="00EE0F21"/>
    <w:rsid w:val="00EF1AD5"/>
    <w:rsid w:val="00EF7034"/>
    <w:rsid w:val="00F038BD"/>
    <w:rsid w:val="00F117B8"/>
    <w:rsid w:val="00F34191"/>
    <w:rsid w:val="00F35B46"/>
    <w:rsid w:val="00F37057"/>
    <w:rsid w:val="00F4569D"/>
    <w:rsid w:val="00F46983"/>
    <w:rsid w:val="00F477C2"/>
    <w:rsid w:val="00F54112"/>
    <w:rsid w:val="00F60BB4"/>
    <w:rsid w:val="00F62E19"/>
    <w:rsid w:val="00F74F83"/>
    <w:rsid w:val="00F80430"/>
    <w:rsid w:val="00F91765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DE469"/>
  <w15:chartTrackingRefBased/>
  <w15:docId w15:val="{D12D6DB6-D8BC-4B08-BBC9-CA55C3F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  <w:style w:type="character" w:styleId="UnresolvedMention">
    <w:name w:val="Unresolved Mention"/>
    <w:uiPriority w:val="99"/>
    <w:semiHidden/>
    <w:unhideWhenUsed/>
    <w:rsid w:val="0030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be.eu/actions/european-lawyers-da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2532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https://www.ccbe.eu/actions/european-lawyers-day/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3</cp:revision>
  <cp:lastPrinted>2024-04-17T08:58:00Z</cp:lastPrinted>
  <dcterms:created xsi:type="dcterms:W3CDTF">2024-09-16T09:39:00Z</dcterms:created>
  <dcterms:modified xsi:type="dcterms:W3CDTF">2024-09-17T09:44:00Z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