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33B8" w14:textId="77777777" w:rsidR="00500846" w:rsidRPr="00A02632" w:rsidRDefault="00500846" w:rsidP="00500846">
      <w:pPr>
        <w:pStyle w:val="NoSpacing"/>
        <w:jc w:val="both"/>
        <w:rPr>
          <w:rFonts w:ascii="Calibri" w:hAnsi="Calibri" w:cs="Calibri"/>
          <w:b/>
          <w:bCs/>
          <w:sz w:val="26"/>
          <w:szCs w:val="26"/>
        </w:rPr>
      </w:pPr>
      <w:r w:rsidRPr="00A02632">
        <w:rPr>
          <w:rFonts w:ascii="Calibri" w:hAnsi="Calibri" w:cs="Calibri"/>
          <w:b/>
          <w:bCs/>
          <w:sz w:val="26"/>
          <w:szCs w:val="26"/>
        </w:rPr>
        <w:t>UNIUNEA NAŢIONALĂ A BAROURILOR DIN ROMÂNIA</w:t>
      </w:r>
    </w:p>
    <w:p w14:paraId="1A11F2A3" w14:textId="77777777" w:rsidR="00500846" w:rsidRPr="00A02632" w:rsidRDefault="00500846" w:rsidP="00500846">
      <w:pPr>
        <w:pStyle w:val="NoSpacing"/>
        <w:jc w:val="both"/>
        <w:rPr>
          <w:rFonts w:ascii="Calibri" w:hAnsi="Calibri" w:cs="Calibri"/>
          <w:b/>
          <w:bCs/>
          <w:sz w:val="26"/>
          <w:szCs w:val="26"/>
        </w:rPr>
      </w:pPr>
      <w:r w:rsidRPr="00A02632">
        <w:rPr>
          <w:rFonts w:ascii="Calibri" w:hAnsi="Calibri" w:cs="Calibri"/>
          <w:b/>
          <w:bCs/>
          <w:sz w:val="26"/>
          <w:szCs w:val="26"/>
        </w:rPr>
        <w:t>CONGRESUL AVOCAŢILOR</w:t>
      </w:r>
    </w:p>
    <w:p w14:paraId="3D96140F" w14:textId="77777777" w:rsidR="00500846" w:rsidRPr="00A02632" w:rsidRDefault="00500846" w:rsidP="00500846">
      <w:pPr>
        <w:pStyle w:val="NoSpacing"/>
        <w:jc w:val="both"/>
        <w:rPr>
          <w:rFonts w:ascii="Calibri" w:hAnsi="Calibri" w:cs="Calibri"/>
          <w:b/>
          <w:bCs/>
          <w:sz w:val="26"/>
          <w:szCs w:val="26"/>
        </w:rPr>
      </w:pPr>
      <w:r w:rsidRPr="00A02632">
        <w:rPr>
          <w:rFonts w:ascii="Calibri" w:hAnsi="Calibri" w:cs="Calibri"/>
          <w:b/>
          <w:bCs/>
          <w:sz w:val="26"/>
          <w:szCs w:val="26"/>
        </w:rPr>
        <w:t>BUCUREŞTI,  13-14 iunie 2025</w:t>
      </w:r>
    </w:p>
    <w:p w14:paraId="19065407" w14:textId="22D2455F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ind w:left="432" w:hanging="432"/>
        <w:jc w:val="center"/>
        <w:rPr>
          <w:rFonts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REZOLUȚIE</w:t>
      </w:r>
    </w:p>
    <w:p w14:paraId="5E5A5FFC" w14:textId="6191A2F9" w:rsidR="00035758" w:rsidRPr="00A02632" w:rsidRDefault="003F643F" w:rsidP="008E4815">
      <w:pPr>
        <w:pStyle w:val="CorpA"/>
        <w:widowControl w:val="0"/>
        <w:suppressAutoHyphens/>
        <w:spacing w:after="0" w:line="240" w:lineRule="auto"/>
        <w:ind w:left="432" w:hanging="432"/>
        <w:jc w:val="center"/>
        <w:rPr>
          <w:rFonts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p</w:t>
      </w:r>
      <w:r w:rsidR="00093923" w:rsidRPr="00A02632">
        <w:rPr>
          <w:rFonts w:cs="Calibri"/>
          <w:b/>
          <w:bCs/>
          <w:sz w:val="26"/>
          <w:szCs w:val="26"/>
          <w:u w:color="212121"/>
          <w:lang w:val="ro-RO"/>
        </w:rPr>
        <w:t>rivind</w:t>
      </w: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 asigurarea</w:t>
      </w:r>
      <w:r w:rsidR="00093923"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 unui regim fiscal echitabil și sustenabil </w:t>
      </w:r>
      <w:r w:rsidR="00800D6D" w:rsidRPr="00A02632">
        <w:rPr>
          <w:rFonts w:cs="Calibri"/>
          <w:b/>
          <w:bCs/>
          <w:sz w:val="26"/>
          <w:szCs w:val="26"/>
          <w:u w:color="212121"/>
          <w:lang w:val="ro-RO"/>
        </w:rPr>
        <w:t>pentru profesiile liberale</w:t>
      </w:r>
    </w:p>
    <w:p w14:paraId="376DD88F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sz w:val="26"/>
          <w:szCs w:val="26"/>
          <w:u w:color="212121"/>
          <w:lang w:val="ro-RO"/>
        </w:rPr>
      </w:pPr>
    </w:p>
    <w:p w14:paraId="74D36926" w14:textId="6A6317EE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sz w:val="26"/>
          <w:szCs w:val="26"/>
          <w:u w:color="212121"/>
          <w:lang w:val="ro-RO"/>
        </w:rPr>
      </w:pPr>
      <w:r w:rsidRPr="00A02632">
        <w:rPr>
          <w:rFonts w:cs="Calibri"/>
          <w:sz w:val="26"/>
          <w:szCs w:val="26"/>
          <w:u w:color="212121"/>
          <w:lang w:val="ro-RO"/>
        </w:rPr>
        <w:t>Având în vedere că:</w:t>
      </w:r>
    </w:p>
    <w:p w14:paraId="0C095141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sz w:val="26"/>
          <w:szCs w:val="26"/>
          <w:u w:color="212121"/>
          <w:lang w:val="ro-RO"/>
        </w:rPr>
      </w:pPr>
    </w:p>
    <w:p w14:paraId="7B4F1FFF" w14:textId="076EA776" w:rsidR="00093923" w:rsidRPr="00A02632" w:rsidRDefault="00800D6D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Cei care practică profesii liberale</w:t>
      </w:r>
      <w:r w:rsidR="00093923" w:rsidRPr="00A02632">
        <w:rPr>
          <w:rFonts w:cs="Calibri"/>
          <w:i/>
          <w:iCs/>
          <w:sz w:val="26"/>
          <w:szCs w:val="26"/>
          <w:u w:color="212121"/>
          <w:lang w:val="ro-RO"/>
        </w:rPr>
        <w:t>, inclusiv avocații, constituie o categorie esențială a economiei, fiind contributori constanți la bugetul de stat și furnizând servicii de interes public major</w:t>
      </w:r>
      <w:r w:rsidR="00B139DA" w:rsidRPr="00A02632">
        <w:rPr>
          <w:rFonts w:cs="Calibri"/>
          <w:i/>
          <w:iCs/>
          <w:sz w:val="26"/>
          <w:szCs w:val="26"/>
          <w:u w:color="212121"/>
          <w:lang w:val="ro-RO"/>
        </w:rPr>
        <w:t>, dar care, în același timp,</w:t>
      </w:r>
      <w:r w:rsidR="00093923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suportă riscurile inerente ale activității independente, fără a beneficia de protecțiile oferite salariaților</w:t>
      </w:r>
      <w:r w:rsidR="00B139DA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și</w:t>
      </w:r>
      <w:r w:rsidR="00093923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având constrângeri legale de a desfășura activități conexe</w:t>
      </w:r>
      <w:r w:rsidR="00B139DA" w:rsidRPr="00A02632">
        <w:rPr>
          <w:rFonts w:cs="Calibri"/>
          <w:i/>
          <w:iCs/>
          <w:sz w:val="26"/>
          <w:szCs w:val="26"/>
          <w:u w:color="212121"/>
          <w:lang w:val="ro-RO"/>
        </w:rPr>
        <w:t>;</w:t>
      </w:r>
    </w:p>
    <w:p w14:paraId="258B6E60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</w:p>
    <w:p w14:paraId="6D3C79B4" w14:textId="2CD7E996" w:rsidR="00093923" w:rsidRPr="00A02632" w:rsidRDefault="00800D6D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În cazul avocaților, orice</w:t>
      </w:r>
      <w:r w:rsidR="00437BD2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majorare 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a</w:t>
      </w:r>
      <w:r w:rsidR="00437BD2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sarcin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ilor</w:t>
      </w:r>
      <w:r w:rsidR="00437BD2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fiscale </w:t>
      </w:r>
      <w:r w:rsidR="00B139DA" w:rsidRPr="00A02632">
        <w:rPr>
          <w:rFonts w:cs="Calibri"/>
          <w:i/>
          <w:iCs/>
          <w:sz w:val="26"/>
          <w:szCs w:val="26"/>
          <w:u w:color="212121"/>
          <w:lang w:val="ro-RO"/>
        </w:rPr>
        <w:t>va</w:t>
      </w:r>
      <w:r w:rsidR="00093923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avea consecințe negative asupra accesului la justiție, prin creșterea inevitabilă a</w:t>
      </w:r>
      <w:r w:rsidR="002052A2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costurilor</w:t>
      </w:r>
      <w:r w:rsidR="00093923" w:rsidRPr="00A02632">
        <w:rPr>
          <w:rFonts w:cs="Calibri"/>
          <w:i/>
          <w:iCs/>
          <w:sz w:val="26"/>
          <w:szCs w:val="26"/>
          <w:u w:color="212121"/>
          <w:lang w:val="ro-RO"/>
        </w:rPr>
        <w:t>, într-un context în care sistemul de justiție trebuie să rămână accesibil și eficient pentru cetățeni.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Același fenomen s-ar petrece și în alte domenii în care activează membrii profesiilor liberale, deoarece aceștia suportă riscurile activității, fluctuațiile capacității de plată a cetățenilor și au posibilități reduse de finanțare a activității.</w:t>
      </w:r>
    </w:p>
    <w:p w14:paraId="4415F0FE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</w:p>
    <w:p w14:paraId="18CB0AD4" w14:textId="7B1FCE4B" w:rsidR="00093923" w:rsidRPr="00A02632" w:rsidRDefault="00093923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Independența profesiei de avocat este un pilon fundamental al statului de drept. Un regim fiscal disproporționat</w:t>
      </w:r>
      <w:r w:rsidR="00800D6D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ar putea afecta grav independența financiară a profesiei și ar crea premise negative asupra colectării bugetare</w:t>
      </w:r>
      <w:r w:rsidR="00B139DA" w:rsidRPr="00A02632">
        <w:rPr>
          <w:rFonts w:cs="Calibri"/>
          <w:i/>
          <w:iCs/>
          <w:sz w:val="26"/>
          <w:szCs w:val="26"/>
          <w:u w:color="212121"/>
          <w:lang w:val="ro-RO"/>
        </w:rPr>
        <w:t>;</w:t>
      </w:r>
    </w:p>
    <w:p w14:paraId="0F932059" w14:textId="77777777" w:rsidR="00437BD2" w:rsidRPr="00A02632" w:rsidRDefault="00437BD2" w:rsidP="008E4815">
      <w:pPr>
        <w:pStyle w:val="ListParagraph"/>
        <w:rPr>
          <w:rFonts w:ascii="Calibri" w:hAnsi="Calibri" w:cs="Calibri"/>
          <w:i/>
          <w:iCs/>
          <w:sz w:val="26"/>
          <w:szCs w:val="26"/>
          <w:u w:color="212121"/>
        </w:rPr>
      </w:pPr>
    </w:p>
    <w:p w14:paraId="2E5BB748" w14:textId="08366B46" w:rsidR="00437BD2" w:rsidRPr="00A02632" w:rsidRDefault="00437BD2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În contextul unei presiuni fiscale crescânde, este esențial ca sustenabilitatea profesiei de avocat</w:t>
      </w:r>
      <w:r w:rsidR="00800D6D"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, precum și a celorlalte profesii liberale 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să nu fie periclitată. O sarcină fiscală excesivă descurajează intrarea tinerilor în profesie și poate conduce, în timp, la diminuarea capacității sistemului juridic de a se regenera și adapta. Menținerea atractivității profesiei pentru noile generații de juriști depinde în mod direct de un regim fiscal predictibil și echitabil;</w:t>
      </w:r>
    </w:p>
    <w:p w14:paraId="406B3697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</w:p>
    <w:p w14:paraId="0BBE9726" w14:textId="36110C21" w:rsidR="00093923" w:rsidRPr="00A02632" w:rsidRDefault="00093923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Directiva 2006/112/CE a Consiliului UE prevede deja posibilitatea unui tratament fiscal diferențiat pentru profesiile liberale, inclusiv pentru avocați, subliniind astfel recunoașterea la nivel european a specificului acestor profesii</w:t>
      </w:r>
      <w:r w:rsidR="00B139DA" w:rsidRPr="00A02632">
        <w:rPr>
          <w:rFonts w:cs="Calibri"/>
          <w:i/>
          <w:iCs/>
          <w:sz w:val="26"/>
          <w:szCs w:val="26"/>
          <w:u w:color="212121"/>
          <w:lang w:val="ro-RO"/>
        </w:rPr>
        <w:t>;</w:t>
      </w:r>
    </w:p>
    <w:p w14:paraId="74751E82" w14:textId="77777777" w:rsidR="00B139DA" w:rsidRPr="00A02632" w:rsidRDefault="00B139DA" w:rsidP="008E4815">
      <w:pPr>
        <w:pStyle w:val="ListParagraph"/>
        <w:rPr>
          <w:rFonts w:ascii="Calibri" w:hAnsi="Calibri" w:cs="Calibri"/>
          <w:i/>
          <w:iCs/>
          <w:sz w:val="26"/>
          <w:szCs w:val="26"/>
          <w:u w:color="212121"/>
        </w:rPr>
      </w:pPr>
    </w:p>
    <w:p w14:paraId="09029052" w14:textId="6CF50089" w:rsidR="00AA49B8" w:rsidRPr="00A02632" w:rsidRDefault="00AA49B8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lastRenderedPageBreak/>
        <w:t>Mesajele recente ale reprezentanților BNR</w:t>
      </w:r>
      <w:r w:rsidRPr="00A02632">
        <w:rPr>
          <w:rStyle w:val="FootnoteReference"/>
          <w:rFonts w:cs="Calibri"/>
          <w:i/>
          <w:iCs/>
          <w:sz w:val="26"/>
          <w:szCs w:val="26"/>
          <w:u w:color="212121"/>
          <w:lang w:val="ro-RO"/>
        </w:rPr>
        <w:footnoteReference w:id="1"/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sunt în același sens, trăgând un semnal de alarmă privind importanța responsabilității fiscale și a </w:t>
      </w:r>
      <w:r w:rsidR="002052A2" w:rsidRPr="00A02632">
        <w:rPr>
          <w:rFonts w:cs="Calibri"/>
          <w:i/>
          <w:iCs/>
          <w:sz w:val="26"/>
          <w:szCs w:val="26"/>
          <w:u w:color="212121"/>
          <w:lang w:val="ro-RO"/>
        </w:rPr>
        <w:t>rezilienței</w:t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economice pe termen lung și subliniind că reformele ar trebui să respecte principiul impunerii echitabile, să evite distorsiunile de politică fiscală și să asigure claritate și stabilitate legislativă;</w:t>
      </w:r>
    </w:p>
    <w:p w14:paraId="5FD80360" w14:textId="77777777" w:rsidR="00AA49B8" w:rsidRPr="00A02632" w:rsidRDefault="00AA49B8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</w:p>
    <w:p w14:paraId="105A54D5" w14:textId="2DF361CD" w:rsidR="00B139DA" w:rsidRPr="00A02632" w:rsidRDefault="00AA49B8" w:rsidP="008E4815">
      <w:pPr>
        <w:pStyle w:val="CorpA"/>
        <w:widowControl w:val="0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cs="Calibri"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>Recomandările recente ale Fondului Monetar Internațional</w:t>
      </w:r>
      <w:r w:rsidRPr="00A02632">
        <w:rPr>
          <w:rStyle w:val="FootnoteReference"/>
          <w:rFonts w:cs="Calibri"/>
          <w:i/>
          <w:iCs/>
          <w:sz w:val="26"/>
          <w:szCs w:val="26"/>
          <w:u w:color="212121"/>
          <w:lang w:val="ro-RO"/>
        </w:rPr>
        <w:footnoteReference w:id="2"/>
      </w:r>
      <w:r w:rsidRPr="00A02632">
        <w:rPr>
          <w:rFonts w:cs="Calibri"/>
          <w:i/>
          <w:iCs/>
          <w:sz w:val="26"/>
          <w:szCs w:val="26"/>
          <w:u w:color="212121"/>
          <w:lang w:val="ro-RO"/>
        </w:rPr>
        <w:t xml:space="preserve"> vizează necesitatea de reechilibrare a sistemului fiscal prin reducerea poverii pe muncă și reorientarea către impozite pe consum și capital, ceea ce implică menținerea unei abordări echilibrate în ceea ce privește profesiile liberale,</w:t>
      </w:r>
    </w:p>
    <w:p w14:paraId="3184FBF2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sz w:val="26"/>
          <w:szCs w:val="26"/>
          <w:u w:color="212121"/>
          <w:lang w:val="ro-RO"/>
        </w:rPr>
      </w:pPr>
    </w:p>
    <w:p w14:paraId="5F8C273A" w14:textId="77777777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eastAsia="Georgia" w:cs="Calibri"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Congresul Avocaților, întrunit în ședința din 13-14 iunie 2025</w:t>
      </w:r>
      <w:r w:rsidRPr="00A02632">
        <w:rPr>
          <w:rFonts w:cs="Calibri"/>
          <w:sz w:val="26"/>
          <w:szCs w:val="26"/>
          <w:u w:color="212121"/>
          <w:lang w:val="ro-RO"/>
        </w:rPr>
        <w:t xml:space="preserve">, luând act de contextul economic și bugetar actual al României, de nevoia stringentă a unor reforme fiscale menite să reducă deficitul bugetar, dar și de riscurile generate de o eventuală supraimpozitare a profesiilor liberale, </w:t>
      </w: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adoptă prezenta</w:t>
      </w:r>
    </w:p>
    <w:p w14:paraId="0DD4F0D4" w14:textId="77777777" w:rsidR="00437BD2" w:rsidRPr="00A02632" w:rsidRDefault="00437BD2" w:rsidP="008E4815">
      <w:pPr>
        <w:pStyle w:val="CorpA"/>
        <w:widowControl w:val="0"/>
        <w:suppressAutoHyphens/>
        <w:spacing w:after="0" w:line="240" w:lineRule="auto"/>
        <w:jc w:val="center"/>
        <w:rPr>
          <w:rFonts w:cs="Calibri"/>
          <w:b/>
          <w:bCs/>
          <w:i/>
          <w:iCs/>
          <w:sz w:val="26"/>
          <w:szCs w:val="26"/>
          <w:u w:color="212121"/>
          <w:lang w:val="ro-RO"/>
        </w:rPr>
      </w:pPr>
    </w:p>
    <w:p w14:paraId="3F764DBA" w14:textId="11B2A79D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center"/>
        <w:rPr>
          <w:rFonts w:cs="Calibri"/>
          <w:b/>
          <w:bCs/>
          <w:i/>
          <w:i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i/>
          <w:iCs/>
          <w:sz w:val="26"/>
          <w:szCs w:val="26"/>
          <w:u w:color="212121"/>
          <w:lang w:val="ro-RO"/>
        </w:rPr>
        <w:t>REZOLUȚIE</w:t>
      </w:r>
    </w:p>
    <w:p w14:paraId="0A23E534" w14:textId="77777777" w:rsidR="00B139DA" w:rsidRPr="00A02632" w:rsidRDefault="00B139DA" w:rsidP="008E4815">
      <w:pPr>
        <w:pStyle w:val="CorpA"/>
        <w:widowControl w:val="0"/>
        <w:suppressAutoHyphens/>
        <w:spacing w:after="0" w:line="240" w:lineRule="auto"/>
        <w:rPr>
          <w:rFonts w:cs="Calibri"/>
          <w:b/>
          <w:bCs/>
          <w:sz w:val="26"/>
          <w:szCs w:val="26"/>
          <w:u w:color="212121"/>
          <w:lang w:val="ro-RO"/>
        </w:rPr>
      </w:pPr>
    </w:p>
    <w:p w14:paraId="25B084F1" w14:textId="26959D54" w:rsidR="00B139DA" w:rsidRPr="00A02632" w:rsidRDefault="00B139DA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prin care solicită Guvernului României și Parlamentului</w:t>
      </w:r>
      <w:r w:rsidR="003F643F"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 ca</w:t>
      </w: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 regimul fiscal aplicabil profesiilor liberale</w:t>
      </w:r>
      <w:r w:rsidR="003F643F"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 să nu fie afectat prin mărirea sarcinilor fiscale</w:t>
      </w:r>
    </w:p>
    <w:p w14:paraId="7FE8CF37" w14:textId="425D616C" w:rsidR="00B139DA" w:rsidRPr="00A02632" w:rsidRDefault="003F643F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și</w:t>
      </w:r>
    </w:p>
    <w:p w14:paraId="21625DA1" w14:textId="1E1C8C91" w:rsidR="00B139DA" w:rsidRPr="00A02632" w:rsidRDefault="00B139DA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ca orice propunere legislativă viitoare în domeniul fiscal să fie precedată de o consultare reală și efectivă cu organismele reprezentative ale profesiilor liberale.</w:t>
      </w:r>
    </w:p>
    <w:p w14:paraId="55AEABA6" w14:textId="77777777" w:rsidR="00B139DA" w:rsidRPr="00A02632" w:rsidRDefault="00B139DA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b/>
          <w:bCs/>
          <w:sz w:val="26"/>
          <w:szCs w:val="26"/>
          <w:u w:color="212121"/>
          <w:lang w:val="ro-RO"/>
        </w:rPr>
      </w:pPr>
    </w:p>
    <w:p w14:paraId="4EB12D1C" w14:textId="1D6449FE" w:rsidR="00B139DA" w:rsidRPr="00A02632" w:rsidRDefault="00B139DA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Această </w:t>
      </w:r>
      <w:r w:rsidR="00AA49B8"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Rezoluție </w:t>
      </w: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este adoptată în spiritul responsabilității față de profesie, societate și statul de drept</w:t>
      </w:r>
      <w:r w:rsidR="00AA49B8" w:rsidRPr="00A02632">
        <w:rPr>
          <w:rFonts w:cs="Calibri"/>
          <w:b/>
          <w:bCs/>
          <w:sz w:val="26"/>
          <w:szCs w:val="26"/>
          <w:u w:color="212121"/>
          <w:lang w:val="ro-RO"/>
        </w:rPr>
        <w:t xml:space="preserve"> și dovedește </w:t>
      </w:r>
      <w:r w:rsidR="00AA49B8" w:rsidRPr="00A02632">
        <w:rPr>
          <w:rFonts w:cs="Calibri"/>
          <w:sz w:val="26"/>
          <w:szCs w:val="26"/>
          <w:lang w:val="ro-RO"/>
        </w:rPr>
        <w:t xml:space="preserve"> </w:t>
      </w:r>
      <w:r w:rsidR="00AA49B8" w:rsidRPr="00A02632">
        <w:rPr>
          <w:rFonts w:cs="Calibri"/>
          <w:b/>
          <w:bCs/>
          <w:sz w:val="26"/>
          <w:szCs w:val="26"/>
          <w:u w:color="212121"/>
          <w:lang w:val="ro-RO"/>
        </w:rPr>
        <w:t>angajamentul ferm al avocaților din România pentru menținerea unui cadru fiscal echitabil, stabil și proporțional, care să asigure independența profesiei și accesul liber al cetățenilor la justiție.</w:t>
      </w:r>
    </w:p>
    <w:p w14:paraId="0E237B09" w14:textId="77777777" w:rsidR="008E4815" w:rsidRPr="00A02632" w:rsidRDefault="008E4815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b/>
          <w:bCs/>
          <w:sz w:val="26"/>
          <w:szCs w:val="26"/>
          <w:u w:color="212121"/>
          <w:lang w:val="ro-RO"/>
        </w:rPr>
      </w:pPr>
    </w:p>
    <w:p w14:paraId="48606C56" w14:textId="38909D94" w:rsidR="00093923" w:rsidRPr="00A02632" w:rsidRDefault="00093923" w:rsidP="008E4815">
      <w:pPr>
        <w:pStyle w:val="CorpA"/>
        <w:widowControl w:val="0"/>
        <w:suppressAutoHyphens/>
        <w:spacing w:after="0" w:line="240" w:lineRule="auto"/>
        <w:jc w:val="both"/>
        <w:rPr>
          <w:rFonts w:cs="Calibri"/>
          <w:sz w:val="26"/>
          <w:szCs w:val="26"/>
          <w:u w:color="212121"/>
          <w:lang w:val="ro-RO"/>
        </w:rPr>
      </w:pPr>
    </w:p>
    <w:p w14:paraId="772615ED" w14:textId="2E8D5C03" w:rsidR="00B139DA" w:rsidRPr="00A02632" w:rsidRDefault="00B139DA" w:rsidP="008E4815">
      <w:pPr>
        <w:pStyle w:val="CorpA"/>
        <w:widowControl w:val="0"/>
        <w:suppressAutoHyphens/>
        <w:spacing w:after="0" w:line="240" w:lineRule="auto"/>
        <w:jc w:val="center"/>
        <w:rPr>
          <w:rFonts w:eastAsia="Georgia" w:cs="Calibri"/>
          <w:b/>
          <w:bCs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PREȘEDINTE</w:t>
      </w:r>
      <w:r w:rsidR="008E4815" w:rsidRPr="00A02632">
        <w:rPr>
          <w:rFonts w:cs="Calibri"/>
          <w:b/>
          <w:bCs/>
          <w:sz w:val="26"/>
          <w:szCs w:val="26"/>
          <w:u w:color="212121"/>
          <w:lang w:val="ro-RO"/>
        </w:rPr>
        <w:t>LE UNBR</w:t>
      </w:r>
    </w:p>
    <w:p w14:paraId="0A8BE2E0" w14:textId="029DCC28" w:rsidR="00093923" w:rsidRPr="00A02632" w:rsidRDefault="00B139DA" w:rsidP="008E4815">
      <w:pPr>
        <w:pStyle w:val="CorpA"/>
        <w:widowControl w:val="0"/>
        <w:suppressAutoHyphens/>
        <w:spacing w:after="0" w:line="240" w:lineRule="auto"/>
        <w:jc w:val="center"/>
        <w:rPr>
          <w:rFonts w:cs="Calibri"/>
          <w:sz w:val="26"/>
          <w:szCs w:val="26"/>
          <w:u w:color="212121"/>
          <w:lang w:val="ro-RO"/>
        </w:rPr>
      </w:pPr>
      <w:r w:rsidRPr="00A02632">
        <w:rPr>
          <w:rFonts w:cs="Calibri"/>
          <w:b/>
          <w:bCs/>
          <w:sz w:val="26"/>
          <w:szCs w:val="26"/>
          <w:u w:color="212121"/>
          <w:lang w:val="ro-RO"/>
        </w:rPr>
        <w:t>Traian-Cornel BRICIU</w:t>
      </w:r>
    </w:p>
    <w:sectPr w:rsidR="00093923" w:rsidRPr="00A02632" w:rsidSect="00A00412">
      <w:headerReference w:type="default" r:id="rId8"/>
      <w:footerReference w:type="default" r:id="rId9"/>
      <w:pgSz w:w="12240" w:h="15840"/>
      <w:pgMar w:top="2552" w:right="1183" w:bottom="1701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EB47" w14:textId="77777777" w:rsidR="006114B7" w:rsidRDefault="006114B7">
      <w:r>
        <w:separator/>
      </w:r>
    </w:p>
  </w:endnote>
  <w:endnote w:type="continuationSeparator" w:id="0">
    <w:p w14:paraId="1E22928D" w14:textId="77777777" w:rsidR="006114B7" w:rsidRDefault="0061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0D8F" w14:textId="77777777" w:rsidR="009F0991" w:rsidRPr="00E33376" w:rsidRDefault="009F0991" w:rsidP="009F0991">
    <w:pPr>
      <w:pStyle w:val="Footer"/>
      <w:jc w:val="center"/>
      <w:rPr>
        <w:rFonts w:ascii="Calibri Light" w:hAnsi="Calibri Light"/>
        <w:color w:val="800000"/>
        <w:sz w:val="20"/>
        <w:szCs w:val="20"/>
        <w:lang w:val="ro-RO"/>
      </w:rPr>
    </w:pPr>
    <w:r w:rsidRPr="00E33376">
      <w:rPr>
        <w:rFonts w:ascii="Calibri Light" w:hAnsi="Calibri Light"/>
        <w:color w:val="800000"/>
        <w:sz w:val="20"/>
        <w:szCs w:val="20"/>
        <w:lang w:val="ro-RO"/>
      </w:rPr>
      <w:t>Palatul de Justiție, București, Sector 5, Splaiul Independenței nr. 5, Cod poștal 050091</w:t>
    </w:r>
  </w:p>
  <w:p w14:paraId="7C5107FA" w14:textId="77777777" w:rsidR="009F0991" w:rsidRPr="00E33376" w:rsidRDefault="009F0991" w:rsidP="009F0991">
    <w:pPr>
      <w:pStyle w:val="Footer"/>
      <w:jc w:val="center"/>
      <w:rPr>
        <w:rFonts w:ascii="Calibri Light" w:hAnsi="Calibri Light"/>
        <w:color w:val="800000"/>
        <w:sz w:val="20"/>
        <w:szCs w:val="20"/>
        <w:lang w:val="ro-RO"/>
      </w:rPr>
    </w:pPr>
    <w:r w:rsidRPr="00E33376">
      <w:rPr>
        <w:rFonts w:ascii="Calibri Light" w:hAnsi="Calibri Light"/>
        <w:color w:val="800000"/>
        <w:sz w:val="20"/>
        <w:szCs w:val="20"/>
        <w:lang w:val="ro-RO"/>
      </w:rPr>
      <w:t>Tel: (+4) 021/316-0739; 316-0740; 313-4875; Fax: (+4) 021/313-4880;</w:t>
    </w:r>
  </w:p>
  <w:p w14:paraId="4BAC0AB7" w14:textId="77777777" w:rsidR="009F0991" w:rsidRPr="00E33376" w:rsidRDefault="009F0991" w:rsidP="009F0991">
    <w:pPr>
      <w:pStyle w:val="Footer"/>
      <w:jc w:val="center"/>
      <w:rPr>
        <w:rFonts w:ascii="Calibri Light" w:hAnsi="Calibri Light"/>
        <w:color w:val="800000"/>
        <w:sz w:val="20"/>
        <w:szCs w:val="20"/>
        <w:lang w:val="ro-RO"/>
      </w:rPr>
    </w:pPr>
    <w:r w:rsidRPr="00E33376">
      <w:rPr>
        <w:rFonts w:ascii="Calibri Light" w:hAnsi="Calibri Light"/>
        <w:color w:val="800000"/>
        <w:sz w:val="20"/>
        <w:szCs w:val="20"/>
        <w:lang w:val="ro-RO"/>
      </w:rPr>
      <w:t>E-mail: unbr@unbr.ro; Website: www.unbr.ro</w:t>
    </w:r>
  </w:p>
  <w:p w14:paraId="00719B0A" w14:textId="77777777" w:rsidR="00035758" w:rsidRPr="00E33376" w:rsidRDefault="00E04FE3">
    <w:pPr>
      <w:pStyle w:val="Footer"/>
      <w:jc w:val="right"/>
      <w:rPr>
        <w:lang w:val="ro-RO"/>
      </w:rPr>
    </w:pPr>
    <w:r w:rsidRPr="00E33376">
      <w:rPr>
        <w:lang w:val="ro-RO"/>
      </w:rPr>
      <w:fldChar w:fldCharType="begin"/>
    </w:r>
    <w:r w:rsidRPr="00E33376">
      <w:rPr>
        <w:lang w:val="ro-RO"/>
      </w:rPr>
      <w:instrText xml:space="preserve"> PAGE </w:instrText>
    </w:r>
    <w:r w:rsidRPr="00E33376">
      <w:rPr>
        <w:lang w:val="ro-RO"/>
      </w:rPr>
      <w:fldChar w:fldCharType="separate"/>
    </w:r>
    <w:r w:rsidRPr="00E33376">
      <w:rPr>
        <w:lang w:val="ro-RO"/>
      </w:rPr>
      <w:t>1</w:t>
    </w:r>
    <w:r w:rsidRPr="00E33376">
      <w:rPr>
        <w:lang w:val="ro-RO"/>
      </w:rPr>
      <w:fldChar w:fldCharType="end"/>
    </w:r>
  </w:p>
  <w:p w14:paraId="4BA07A1E" w14:textId="77777777" w:rsidR="00D62C79" w:rsidRPr="00E33376" w:rsidRDefault="00D62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E5B4" w14:textId="77777777" w:rsidR="006114B7" w:rsidRDefault="006114B7">
      <w:r>
        <w:separator/>
      </w:r>
    </w:p>
  </w:footnote>
  <w:footnote w:type="continuationSeparator" w:id="0">
    <w:p w14:paraId="2FEA0879" w14:textId="77777777" w:rsidR="006114B7" w:rsidRDefault="006114B7">
      <w:r>
        <w:continuationSeparator/>
      </w:r>
    </w:p>
  </w:footnote>
  <w:footnote w:id="1">
    <w:p w14:paraId="5E60B9C6" w14:textId="00977295" w:rsidR="00AA49B8" w:rsidRDefault="00AA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3C2A">
        <w:t>https://www.digi24.ro/stiri/economie/avertisment-al-guvernatorului-bnr-pentru-liderii-politici-problema-datoriei-e-mai-presanta-ca-niciodata-3279819</w:t>
      </w:r>
    </w:p>
  </w:footnote>
  <w:footnote w:id="2">
    <w:p w14:paraId="6CFBB66F" w14:textId="40474449" w:rsidR="00AA49B8" w:rsidRDefault="00AA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83E55">
        <w:t xml:space="preserve">Sursă: </w:t>
      </w:r>
      <w:proofErr w:type="spellStart"/>
      <w:r w:rsidRPr="00C83E55">
        <w:t>High‑Level</w:t>
      </w:r>
      <w:proofErr w:type="spellEnd"/>
      <w:r w:rsidRPr="00C83E55">
        <w:t xml:space="preserve"> </w:t>
      </w:r>
      <w:proofErr w:type="spellStart"/>
      <w:r w:rsidRPr="00C83E55">
        <w:t>Summary</w:t>
      </w:r>
      <w:proofErr w:type="spellEnd"/>
      <w:r w:rsidRPr="00C83E55">
        <w:t xml:space="preserve"> </w:t>
      </w:r>
      <w:proofErr w:type="spellStart"/>
      <w:r w:rsidRPr="00C83E55">
        <w:t>Technical</w:t>
      </w:r>
      <w:proofErr w:type="spellEnd"/>
      <w:r w:rsidRPr="00C83E55">
        <w:t xml:space="preserve"> </w:t>
      </w:r>
      <w:proofErr w:type="spellStart"/>
      <w:r w:rsidRPr="00C83E55">
        <w:t>Assistance</w:t>
      </w:r>
      <w:proofErr w:type="spellEnd"/>
      <w:r w:rsidRPr="00C83E55">
        <w:t xml:space="preserve"> Report – „Romania: A </w:t>
      </w:r>
      <w:proofErr w:type="spellStart"/>
      <w:r w:rsidRPr="00C83E55">
        <w:t>Tax</w:t>
      </w:r>
      <w:proofErr w:type="spellEnd"/>
      <w:r w:rsidRPr="00C83E55">
        <w:t xml:space="preserve"> </w:t>
      </w:r>
      <w:proofErr w:type="spellStart"/>
      <w:r w:rsidRPr="00C83E55">
        <w:t>Mix</w:t>
      </w:r>
      <w:proofErr w:type="spellEnd"/>
      <w:r w:rsidRPr="00C83E55">
        <w:t xml:space="preserve"> </w:t>
      </w:r>
      <w:proofErr w:type="spellStart"/>
      <w:r w:rsidRPr="00C83E55">
        <w:t>to</w:t>
      </w:r>
      <w:proofErr w:type="spellEnd"/>
      <w:r w:rsidRPr="00C83E55">
        <w:t xml:space="preserve"> </w:t>
      </w:r>
      <w:proofErr w:type="spellStart"/>
      <w:r w:rsidRPr="00C83E55">
        <w:t>Achieve</w:t>
      </w:r>
      <w:proofErr w:type="spellEnd"/>
      <w:r w:rsidRPr="00C83E55">
        <w:t xml:space="preserve"> Fiscal </w:t>
      </w:r>
      <w:proofErr w:type="spellStart"/>
      <w:r w:rsidRPr="00C83E55">
        <w:t>Sustainability</w:t>
      </w:r>
      <w:proofErr w:type="spellEnd"/>
      <w:r w:rsidRPr="00C83E55">
        <w:t xml:space="preserve"> </w:t>
      </w:r>
      <w:proofErr w:type="spellStart"/>
      <w:r w:rsidRPr="00C83E55">
        <w:t>and</w:t>
      </w:r>
      <w:proofErr w:type="spellEnd"/>
      <w:r w:rsidRPr="00C83E55">
        <w:t xml:space="preserve"> </w:t>
      </w:r>
      <w:proofErr w:type="spellStart"/>
      <w:r w:rsidRPr="00C83E55">
        <w:t>Fairness</w:t>
      </w:r>
      <w:proofErr w:type="spellEnd"/>
      <w:r w:rsidRPr="00C83E55">
        <w:t>”, raport publicat de FMI, mai‑iunie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AE90" w14:textId="5ECDF054" w:rsidR="00645AD7" w:rsidRDefault="00645AD7">
    <w:pPr>
      <w:pStyle w:val="Header"/>
    </w:pPr>
    <w:r w:rsidRPr="00985B5E">
      <w:rPr>
        <w:noProof/>
        <w:lang w:val="en-US"/>
      </w:rPr>
      <w:drawing>
        <wp:inline distT="0" distB="0" distL="0" distR="0" wp14:anchorId="65B2FC44" wp14:editId="69362FA0">
          <wp:extent cx="5762625" cy="1200150"/>
          <wp:effectExtent l="0" t="0" r="9525" b="0"/>
          <wp:docPr id="1092183868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A12"/>
    <w:multiLevelType w:val="hybridMultilevel"/>
    <w:tmpl w:val="1DFA6C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5566B"/>
    <w:multiLevelType w:val="hybridMultilevel"/>
    <w:tmpl w:val="2FDA4098"/>
    <w:styleLink w:val="Numerotate"/>
    <w:lvl w:ilvl="0" w:tplc="947CCE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DED5A4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4F11A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45374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80CFE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C0DD7C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083C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90AA38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524FB2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40113"/>
    <w:multiLevelType w:val="hybridMultilevel"/>
    <w:tmpl w:val="8976D792"/>
    <w:lvl w:ilvl="0" w:tplc="E8DE160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5CD5"/>
    <w:multiLevelType w:val="hybridMultilevel"/>
    <w:tmpl w:val="60365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C70D5"/>
    <w:multiLevelType w:val="hybridMultilevel"/>
    <w:tmpl w:val="C55CD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D3140"/>
    <w:multiLevelType w:val="hybridMultilevel"/>
    <w:tmpl w:val="2FDA4098"/>
    <w:numStyleLink w:val="Numerotate"/>
  </w:abstractNum>
  <w:num w:numId="1" w16cid:durableId="1734158937">
    <w:abstractNumId w:val="1"/>
  </w:num>
  <w:num w:numId="2" w16cid:durableId="125394206">
    <w:abstractNumId w:val="5"/>
  </w:num>
  <w:num w:numId="3" w16cid:durableId="115032685">
    <w:abstractNumId w:val="0"/>
  </w:num>
  <w:num w:numId="4" w16cid:durableId="913314783">
    <w:abstractNumId w:val="2"/>
  </w:num>
  <w:num w:numId="5" w16cid:durableId="1115634208">
    <w:abstractNumId w:val="3"/>
  </w:num>
  <w:num w:numId="6" w16cid:durableId="634287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58"/>
    <w:rsid w:val="00012EF6"/>
    <w:rsid w:val="0001300E"/>
    <w:rsid w:val="0002182A"/>
    <w:rsid w:val="00035758"/>
    <w:rsid w:val="00066E62"/>
    <w:rsid w:val="00093923"/>
    <w:rsid w:val="000947D6"/>
    <w:rsid w:val="000D24E0"/>
    <w:rsid w:val="000D36AF"/>
    <w:rsid w:val="0012686F"/>
    <w:rsid w:val="0014653C"/>
    <w:rsid w:val="002052A2"/>
    <w:rsid w:val="00222779"/>
    <w:rsid w:val="002426EE"/>
    <w:rsid w:val="00251B31"/>
    <w:rsid w:val="00262E33"/>
    <w:rsid w:val="00297FEC"/>
    <w:rsid w:val="002C5E59"/>
    <w:rsid w:val="002D1897"/>
    <w:rsid w:val="002D3A6B"/>
    <w:rsid w:val="003033EF"/>
    <w:rsid w:val="00305FBD"/>
    <w:rsid w:val="0035291E"/>
    <w:rsid w:val="00356E16"/>
    <w:rsid w:val="00372DB0"/>
    <w:rsid w:val="00380FBA"/>
    <w:rsid w:val="003A4180"/>
    <w:rsid w:val="003D5120"/>
    <w:rsid w:val="003F643F"/>
    <w:rsid w:val="00416414"/>
    <w:rsid w:val="00432E55"/>
    <w:rsid w:val="00437BD2"/>
    <w:rsid w:val="004509E5"/>
    <w:rsid w:val="00451A21"/>
    <w:rsid w:val="00474872"/>
    <w:rsid w:val="00480201"/>
    <w:rsid w:val="00487CF9"/>
    <w:rsid w:val="004902FF"/>
    <w:rsid w:val="004C0A5B"/>
    <w:rsid w:val="004E3C2A"/>
    <w:rsid w:val="004E53FC"/>
    <w:rsid w:val="00500846"/>
    <w:rsid w:val="00511376"/>
    <w:rsid w:val="00552B2A"/>
    <w:rsid w:val="00562597"/>
    <w:rsid w:val="00585F5B"/>
    <w:rsid w:val="005E40B8"/>
    <w:rsid w:val="005E5308"/>
    <w:rsid w:val="005F0BFD"/>
    <w:rsid w:val="006114B7"/>
    <w:rsid w:val="00612F90"/>
    <w:rsid w:val="00635EE3"/>
    <w:rsid w:val="00645AD7"/>
    <w:rsid w:val="00674C06"/>
    <w:rsid w:val="006B7FD9"/>
    <w:rsid w:val="00716736"/>
    <w:rsid w:val="00744BF1"/>
    <w:rsid w:val="007749CE"/>
    <w:rsid w:val="00782A3A"/>
    <w:rsid w:val="007927FD"/>
    <w:rsid w:val="007946BF"/>
    <w:rsid w:val="007D3FB0"/>
    <w:rsid w:val="007F3C97"/>
    <w:rsid w:val="00800D6D"/>
    <w:rsid w:val="00810FC8"/>
    <w:rsid w:val="00812224"/>
    <w:rsid w:val="00816F1B"/>
    <w:rsid w:val="0081799D"/>
    <w:rsid w:val="00837012"/>
    <w:rsid w:val="00844902"/>
    <w:rsid w:val="008B5DC1"/>
    <w:rsid w:val="008B61DF"/>
    <w:rsid w:val="008B7B12"/>
    <w:rsid w:val="008E4815"/>
    <w:rsid w:val="008E7ECB"/>
    <w:rsid w:val="008F51C1"/>
    <w:rsid w:val="008F5FD9"/>
    <w:rsid w:val="00914759"/>
    <w:rsid w:val="009178D2"/>
    <w:rsid w:val="00961811"/>
    <w:rsid w:val="009F0991"/>
    <w:rsid w:val="009F0FD8"/>
    <w:rsid w:val="009F1A12"/>
    <w:rsid w:val="00A00412"/>
    <w:rsid w:val="00A02632"/>
    <w:rsid w:val="00A028B3"/>
    <w:rsid w:val="00A4446B"/>
    <w:rsid w:val="00A5170B"/>
    <w:rsid w:val="00AA49B8"/>
    <w:rsid w:val="00AC2F88"/>
    <w:rsid w:val="00AD03C1"/>
    <w:rsid w:val="00AD6383"/>
    <w:rsid w:val="00AE0CBC"/>
    <w:rsid w:val="00B139DA"/>
    <w:rsid w:val="00B45FA7"/>
    <w:rsid w:val="00B7527F"/>
    <w:rsid w:val="00B76D66"/>
    <w:rsid w:val="00BC4006"/>
    <w:rsid w:val="00BF4E89"/>
    <w:rsid w:val="00C1726B"/>
    <w:rsid w:val="00C2787C"/>
    <w:rsid w:val="00C57D10"/>
    <w:rsid w:val="00C6225D"/>
    <w:rsid w:val="00C83E55"/>
    <w:rsid w:val="00CA11A0"/>
    <w:rsid w:val="00CE0DF3"/>
    <w:rsid w:val="00D02DFE"/>
    <w:rsid w:val="00D05BA5"/>
    <w:rsid w:val="00D20524"/>
    <w:rsid w:val="00D47613"/>
    <w:rsid w:val="00D56905"/>
    <w:rsid w:val="00D62C79"/>
    <w:rsid w:val="00DB4942"/>
    <w:rsid w:val="00DC120B"/>
    <w:rsid w:val="00DD7162"/>
    <w:rsid w:val="00DE49E9"/>
    <w:rsid w:val="00E025C7"/>
    <w:rsid w:val="00E04FE3"/>
    <w:rsid w:val="00E17317"/>
    <w:rsid w:val="00E20194"/>
    <w:rsid w:val="00E33376"/>
    <w:rsid w:val="00E43110"/>
    <w:rsid w:val="00E469A2"/>
    <w:rsid w:val="00E52CD9"/>
    <w:rsid w:val="00E67257"/>
    <w:rsid w:val="00E73ADE"/>
    <w:rsid w:val="00E96558"/>
    <w:rsid w:val="00EA107F"/>
    <w:rsid w:val="00EF7375"/>
    <w:rsid w:val="00F63212"/>
    <w:rsid w:val="00FA3AAB"/>
    <w:rsid w:val="00FB2BE7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A7F0"/>
  <w15:docId w15:val="{1EDA4E61-521A-42F8-8D05-93578FE3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orpA">
    <w:name w:val="Corp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otate">
    <w:name w:val="Numerotat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E7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ECB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F0991"/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8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E5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E55"/>
    <w:rPr>
      <w:b/>
      <w:bCs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E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E55"/>
    <w:rPr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C83E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39DA"/>
    <w:pPr>
      <w:ind w:left="720"/>
      <w:contextualSpacing/>
    </w:pPr>
  </w:style>
  <w:style w:type="paragraph" w:styleId="NoSpacing">
    <w:name w:val="No Spacing"/>
    <w:uiPriority w:val="1"/>
    <w:qFormat/>
    <w:rsid w:val="00500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9D9F-5ED8-4748-A734-D777FBB7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Cismaru</dc:creator>
  <cp:lastModifiedBy>Sandu Gherasim</cp:lastModifiedBy>
  <cp:revision>5</cp:revision>
  <dcterms:created xsi:type="dcterms:W3CDTF">2025-06-19T04:05:00Z</dcterms:created>
  <dcterms:modified xsi:type="dcterms:W3CDTF">2025-06-24T00:00:00Z</dcterms:modified>
</cp:coreProperties>
</file>