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2C29" w14:textId="77777777" w:rsidR="00A264A5" w:rsidRPr="00CC5AC6" w:rsidRDefault="00A264A5" w:rsidP="0009691E">
      <w:pPr>
        <w:jc w:val="center"/>
        <w:rPr>
          <w:b/>
          <w14:shadow w14:blurRad="50800" w14:dist="38100" w14:dir="2700000" w14:sx="100000" w14:sy="100000" w14:kx="0" w14:ky="0" w14:algn="tl">
            <w14:srgbClr w14:val="000000">
              <w14:alpha w14:val="60000"/>
            </w14:srgbClr>
          </w14:shadow>
        </w:rPr>
      </w:pPr>
      <w:r w:rsidRPr="00CC5AC6">
        <w:rPr>
          <w:b/>
          <w14:shadow w14:blurRad="50800" w14:dist="38100" w14:dir="2700000" w14:sx="100000" w14:sy="100000" w14:kx="0" w14:ky="0" w14:algn="tl">
            <w14:srgbClr w14:val="000000">
              <w14:alpha w14:val="60000"/>
            </w14:srgbClr>
          </w14:shadow>
        </w:rPr>
        <w:t>R O M Â N I A</w:t>
      </w:r>
    </w:p>
    <w:p w14:paraId="2052F38B" w14:textId="77777777" w:rsidR="00A264A5" w:rsidRPr="00CC5AC6" w:rsidRDefault="00A264A5" w:rsidP="0009691E">
      <w:pPr>
        <w:jc w:val="center"/>
        <w:rPr>
          <w14:shadow w14:blurRad="50800" w14:dist="38100" w14:dir="2700000" w14:sx="100000" w14:sy="100000" w14:kx="0" w14:ky="0" w14:algn="tl">
            <w14:srgbClr w14:val="000000">
              <w14:alpha w14:val="60000"/>
            </w14:srgbClr>
          </w14:shadow>
        </w:rPr>
      </w:pPr>
      <w:hyperlink r:id="rId11" w:history="1">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009B041A" w:rsidRPr="00CC5AC6">
          <w:rPr>
            <w:color w:val="0000FF"/>
            <w14:shadow w14:blurRad="50800" w14:dist="38100" w14:dir="2700000" w14:sx="100000" w14:sy="100000" w14:kx="0" w14:ky="0" w14:algn="tl">
              <w14:srgbClr w14:val="000000">
                <w14:alpha w14:val="60000"/>
              </w14:srgbClr>
            </w14:shadow>
          </w:rPr>
          <w:fldChar w:fldCharType="begin"/>
        </w:r>
        <w:r w:rsidR="009B041A"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9B041A" w:rsidRPr="00CC5AC6">
          <w:rPr>
            <w:color w:val="0000FF"/>
            <w14:shadow w14:blurRad="50800" w14:dist="38100" w14:dir="2700000" w14:sx="100000" w14:sy="100000" w14:kx="0" w14:ky="0" w14:algn="tl">
              <w14:srgbClr w14:val="000000">
                <w14:alpha w14:val="60000"/>
              </w14:srgbClr>
            </w14:shadow>
          </w:rPr>
          <w:fldChar w:fldCharType="separate"/>
        </w:r>
        <w:r w:rsidR="00070CFD" w:rsidRPr="00CC5AC6">
          <w:rPr>
            <w:color w:val="0000FF"/>
            <w14:shadow w14:blurRad="50800" w14:dist="38100" w14:dir="2700000" w14:sx="100000" w14:sy="100000" w14:kx="0" w14:ky="0" w14:algn="tl">
              <w14:srgbClr w14:val="000000">
                <w14:alpha w14:val="60000"/>
              </w14:srgbClr>
            </w14:shadow>
          </w:rPr>
          <w:fldChar w:fldCharType="begin"/>
        </w:r>
        <w:r w:rsidR="00070CFD"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070CFD" w:rsidRPr="00CC5AC6">
          <w:rPr>
            <w:color w:val="0000FF"/>
            <w14:shadow w14:blurRad="50800" w14:dist="38100" w14:dir="2700000" w14:sx="100000" w14:sy="100000" w14:kx="0" w14:ky="0" w14:algn="tl">
              <w14:srgbClr w14:val="000000">
                <w14:alpha w14:val="60000"/>
              </w14:srgbClr>
            </w14:shadow>
          </w:rPr>
          <w:fldChar w:fldCharType="separate"/>
        </w:r>
        <w:r w:rsidR="00550409" w:rsidRPr="00CC5AC6">
          <w:rPr>
            <w:color w:val="0000FF"/>
            <w14:shadow w14:blurRad="50800" w14:dist="38100" w14:dir="2700000" w14:sx="100000" w14:sy="100000" w14:kx="0" w14:ky="0" w14:algn="tl">
              <w14:srgbClr w14:val="000000">
                <w14:alpha w14:val="60000"/>
              </w14:srgbClr>
            </w14:shadow>
          </w:rPr>
          <w:fldChar w:fldCharType="begin"/>
        </w:r>
        <w:r w:rsidR="00550409"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550409" w:rsidRPr="00CC5AC6">
          <w:rPr>
            <w:color w:val="0000FF"/>
            <w14:shadow w14:blurRad="50800" w14:dist="38100" w14:dir="2700000" w14:sx="100000" w14:sy="100000" w14:kx="0" w14:ky="0" w14:algn="tl">
              <w14:srgbClr w14:val="000000">
                <w14:alpha w14:val="60000"/>
              </w14:srgbClr>
            </w14:shadow>
          </w:rPr>
          <w:fldChar w:fldCharType="separate"/>
        </w:r>
        <w:r w:rsidR="006721FF" w:rsidRPr="00CC5AC6">
          <w:rPr>
            <w:color w:val="0000FF"/>
            <w14:shadow w14:blurRad="50800" w14:dist="38100" w14:dir="2700000" w14:sx="100000" w14:sy="100000" w14:kx="0" w14:ky="0" w14:algn="tl">
              <w14:srgbClr w14:val="000000">
                <w14:alpha w14:val="60000"/>
              </w14:srgbClr>
            </w14:shadow>
          </w:rPr>
          <w:fldChar w:fldCharType="begin"/>
        </w:r>
        <w:r w:rsidR="006721FF"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6721FF" w:rsidRPr="00CC5AC6">
          <w:rPr>
            <w:color w:val="0000FF"/>
            <w14:shadow w14:blurRad="50800" w14:dist="38100" w14:dir="2700000" w14:sx="100000" w14:sy="100000" w14:kx="0" w14:ky="0" w14:algn="tl">
              <w14:srgbClr w14:val="000000">
                <w14:alpha w14:val="60000"/>
              </w14:srgbClr>
            </w14:shadow>
          </w:rPr>
          <w:fldChar w:fldCharType="separate"/>
        </w:r>
        <w:r w:rsidR="00A16478" w:rsidRPr="00CC5AC6">
          <w:rPr>
            <w:color w:val="0000FF"/>
            <w14:shadow w14:blurRad="50800" w14:dist="38100" w14:dir="2700000" w14:sx="100000" w14:sy="100000" w14:kx="0" w14:ky="0" w14:algn="tl">
              <w14:srgbClr w14:val="000000">
                <w14:alpha w14:val="60000"/>
              </w14:srgbClr>
            </w14:shadow>
          </w:rPr>
          <w:fldChar w:fldCharType="begin"/>
        </w:r>
        <w:r w:rsidR="00A16478"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A16478" w:rsidRPr="00CC5AC6">
          <w:rPr>
            <w:color w:val="0000FF"/>
            <w14:shadow w14:blurRad="50800" w14:dist="38100" w14:dir="2700000" w14:sx="100000" w14:sy="100000" w14:kx="0" w14:ky="0" w14:algn="tl">
              <w14:srgbClr w14:val="000000">
                <w14:alpha w14:val="60000"/>
              </w14:srgbClr>
            </w14:shadow>
          </w:rPr>
          <w:fldChar w:fldCharType="separate"/>
        </w:r>
        <w:r w:rsidR="00F14257" w:rsidRPr="00CC5AC6">
          <w:rPr>
            <w:color w:val="0000FF"/>
            <w14:shadow w14:blurRad="50800" w14:dist="38100" w14:dir="2700000" w14:sx="100000" w14:sy="100000" w14:kx="0" w14:ky="0" w14:algn="tl">
              <w14:srgbClr w14:val="000000">
                <w14:alpha w14:val="60000"/>
              </w14:srgbClr>
            </w14:shadow>
          </w:rPr>
          <w:fldChar w:fldCharType="begin"/>
        </w:r>
        <w:r w:rsidR="00F14257"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F14257" w:rsidRPr="00CC5AC6">
          <w:rPr>
            <w:color w:val="0000FF"/>
            <w14:shadow w14:blurRad="50800" w14:dist="38100" w14:dir="2700000" w14:sx="100000" w14:sy="100000" w14:kx="0" w14:ky="0" w14:algn="tl">
              <w14:srgbClr w14:val="000000">
                <w14:alpha w14:val="60000"/>
              </w14:srgbClr>
            </w14:shadow>
          </w:rPr>
          <w:fldChar w:fldCharType="separate"/>
        </w:r>
        <w:r w:rsidR="00F65A31" w:rsidRPr="00CC5AC6">
          <w:rPr>
            <w:color w:val="0000FF"/>
            <w14:shadow w14:blurRad="50800" w14:dist="38100" w14:dir="2700000" w14:sx="100000" w14:sy="100000" w14:kx="0" w14:ky="0" w14:algn="tl">
              <w14:srgbClr w14:val="000000">
                <w14:alpha w14:val="60000"/>
              </w14:srgbClr>
            </w14:shadow>
          </w:rPr>
          <w:fldChar w:fldCharType="begin"/>
        </w:r>
        <w:r w:rsidR="00F65A31"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F65A31" w:rsidRPr="00CC5AC6">
          <w:rPr>
            <w:color w:val="0000FF"/>
            <w14:shadow w14:blurRad="50800" w14:dist="38100" w14:dir="2700000" w14:sx="100000" w14:sy="100000" w14:kx="0" w14:ky="0" w14:algn="tl">
              <w14:srgbClr w14:val="000000">
                <w14:alpha w14:val="60000"/>
              </w14:srgbClr>
            </w14:shadow>
          </w:rPr>
          <w:fldChar w:fldCharType="separate"/>
        </w:r>
        <w:r w:rsidR="00A90463" w:rsidRPr="00CC5AC6">
          <w:rPr>
            <w:color w:val="0000FF"/>
            <w14:shadow w14:blurRad="50800" w14:dist="38100" w14:dir="2700000" w14:sx="100000" w14:sy="100000" w14:kx="0" w14:ky="0" w14:algn="tl">
              <w14:srgbClr w14:val="000000">
                <w14:alpha w14:val="60000"/>
              </w14:srgbClr>
            </w14:shadow>
          </w:rPr>
          <w:fldChar w:fldCharType="begin"/>
        </w:r>
        <w:r w:rsidR="00A90463"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A90463" w:rsidRPr="00CC5AC6">
          <w:rPr>
            <w:color w:val="0000FF"/>
            <w14:shadow w14:blurRad="50800" w14:dist="38100" w14:dir="2700000" w14:sx="100000" w14:sy="100000" w14:kx="0" w14:ky="0" w14:algn="tl">
              <w14:srgbClr w14:val="000000">
                <w14:alpha w14:val="60000"/>
              </w14:srgbClr>
            </w14:shadow>
          </w:rPr>
          <w:fldChar w:fldCharType="separate"/>
        </w:r>
        <w:r w:rsidR="00395779" w:rsidRPr="00CC5AC6">
          <w:rPr>
            <w:color w:val="0000FF"/>
            <w14:shadow w14:blurRad="50800" w14:dist="38100" w14:dir="2700000" w14:sx="100000" w14:sy="100000" w14:kx="0" w14:ky="0" w14:algn="tl">
              <w14:srgbClr w14:val="000000">
                <w14:alpha w14:val="60000"/>
              </w14:srgbClr>
            </w14:shadow>
          </w:rPr>
          <w:fldChar w:fldCharType="begin"/>
        </w:r>
        <w:r w:rsidR="00395779"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395779" w:rsidRPr="00CC5AC6">
          <w:rPr>
            <w:color w:val="0000FF"/>
            <w14:shadow w14:blurRad="50800" w14:dist="38100" w14:dir="2700000" w14:sx="100000" w14:sy="100000" w14:kx="0" w14:ky="0" w14:algn="tl">
              <w14:srgbClr w14:val="000000">
                <w14:alpha w14:val="60000"/>
              </w14:srgbClr>
            </w14:shadow>
          </w:rPr>
          <w:fldChar w:fldCharType="separate"/>
        </w:r>
        <w:r w:rsidR="004C1327" w:rsidRPr="00CC5AC6">
          <w:rPr>
            <w:color w:val="0000FF"/>
            <w14:shadow w14:blurRad="50800" w14:dist="38100" w14:dir="2700000" w14:sx="100000" w14:sy="100000" w14:kx="0" w14:ky="0" w14:algn="tl">
              <w14:srgbClr w14:val="000000">
                <w14:alpha w14:val="60000"/>
              </w14:srgbClr>
            </w14:shadow>
          </w:rPr>
          <w:fldChar w:fldCharType="begin"/>
        </w:r>
        <w:r w:rsidR="004C1327"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4C1327" w:rsidRPr="00CC5AC6">
          <w:rPr>
            <w:color w:val="0000FF"/>
            <w14:shadow w14:blurRad="50800" w14:dist="38100" w14:dir="2700000" w14:sx="100000" w14:sy="100000" w14:kx="0" w14:ky="0" w14:algn="tl">
              <w14:srgbClr w14:val="000000">
                <w14:alpha w14:val="60000"/>
              </w14:srgbClr>
            </w14:shadow>
          </w:rPr>
          <w:fldChar w:fldCharType="separate"/>
        </w:r>
        <w:r w:rsidR="008C14E4" w:rsidRPr="00CC5AC6">
          <w:rPr>
            <w:color w:val="0000FF"/>
            <w14:shadow w14:blurRad="50800" w14:dist="38100" w14:dir="2700000" w14:sx="100000" w14:sy="100000" w14:kx="0" w14:ky="0" w14:algn="tl">
              <w14:srgbClr w14:val="000000">
                <w14:alpha w14:val="60000"/>
              </w14:srgbClr>
            </w14:shadow>
          </w:rPr>
          <w:fldChar w:fldCharType="begin"/>
        </w:r>
        <w:r w:rsidR="008C14E4"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8C14E4" w:rsidRPr="00CC5AC6">
          <w:rPr>
            <w:color w:val="0000FF"/>
            <w14:shadow w14:blurRad="50800" w14:dist="38100" w14:dir="2700000" w14:sx="100000" w14:sy="100000" w14:kx="0" w14:ky="0" w14:algn="tl">
              <w14:srgbClr w14:val="000000">
                <w14:alpha w14:val="60000"/>
              </w14:srgbClr>
            </w14:shadow>
          </w:rPr>
          <w:fldChar w:fldCharType="separate"/>
        </w:r>
        <w:r w:rsidR="00DF3950" w:rsidRPr="00CC5AC6">
          <w:rPr>
            <w:color w:val="0000FF"/>
            <w14:shadow w14:blurRad="50800" w14:dist="38100" w14:dir="2700000" w14:sx="100000" w14:sy="100000" w14:kx="0" w14:ky="0" w14:algn="tl">
              <w14:srgbClr w14:val="000000">
                <w14:alpha w14:val="60000"/>
              </w14:srgbClr>
            </w14:shadow>
          </w:rPr>
          <w:fldChar w:fldCharType="begin"/>
        </w:r>
        <w:r w:rsidR="00DF3950"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DF3950" w:rsidRPr="00CC5AC6">
          <w:rPr>
            <w:color w:val="0000FF"/>
            <w14:shadow w14:blurRad="50800" w14:dist="38100" w14:dir="2700000" w14:sx="100000" w14:sy="100000" w14:kx="0" w14:ky="0" w14:algn="tl">
              <w14:srgbClr w14:val="000000">
                <w14:alpha w14:val="60000"/>
              </w14:srgbClr>
            </w14:shadow>
          </w:rPr>
          <w:fldChar w:fldCharType="separate"/>
        </w:r>
        <w:r w:rsidR="00C94181" w:rsidRPr="00CC5AC6">
          <w:rPr>
            <w:color w:val="0000FF"/>
            <w14:shadow w14:blurRad="50800" w14:dist="38100" w14:dir="2700000" w14:sx="100000" w14:sy="100000" w14:kx="0" w14:ky="0" w14:algn="tl">
              <w14:srgbClr w14:val="000000">
                <w14:alpha w14:val="60000"/>
              </w14:srgbClr>
            </w14:shadow>
          </w:rPr>
          <w:fldChar w:fldCharType="begin"/>
        </w:r>
        <w:r w:rsidR="00C94181"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C94181"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00DE27A8" w:rsidRPr="00CC5AC6">
          <w:rPr>
            <w:color w:val="0000FF"/>
            <w14:shadow w14:blurRad="50800" w14:dist="38100" w14:dir="2700000" w14:sx="100000" w14:sy="100000" w14:kx="0" w14:ky="0" w14:algn="tl">
              <w14:srgbClr w14:val="000000">
                <w14:alpha w14:val="60000"/>
              </w14:srgbClr>
            </w14:shadow>
          </w:rPr>
          <w:fldChar w:fldCharType="begin"/>
        </w:r>
        <w:r w:rsidR="00DE27A8"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DE27A8"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sidRPr="00CC5AC6">
          <w:rPr>
            <w:color w:val="0000FF"/>
            <w14:shadow w14:blurRad="50800" w14:dist="38100" w14:dir="2700000" w14:sx="100000" w14:sy="100000" w14:kx="0" w14:ky="0" w14:algn="tl">
              <w14:srgbClr w14:val="000000">
                <w14:alpha w14:val="60000"/>
              </w14:srgbClr>
            </w14:shadow>
          </w:rPr>
          <w:fldChar w:fldCharType="begin"/>
        </w:r>
        <w:r w:rsidRPr="00CC5AC6">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Pr="00CC5AC6">
          <w:rPr>
            <w:color w:val="0000FF"/>
            <w14:shadow w14:blurRad="50800" w14:dist="38100" w14:dir="2700000" w14:sx="100000" w14:sy="100000" w14:kx="0" w14:ky="0" w14:algn="tl">
              <w14:srgbClr w14:val="000000">
                <w14:alpha w14:val="60000"/>
              </w14:srgbClr>
            </w14:shadow>
          </w:rPr>
          <w:fldChar w:fldCharType="separate"/>
        </w:r>
        <w:r>
          <w:rPr>
            <w:color w:val="0000FF"/>
            <w14:shadow w14:blurRad="50800" w14:dist="38100" w14:dir="2700000" w14:sx="100000" w14:sy="100000" w14:kx="0" w14:ky="0" w14:algn="tl">
              <w14:srgbClr w14:val="000000">
                <w14:alpha w14:val="60000"/>
              </w14:srgbClr>
            </w14:shadow>
          </w:rPr>
          <w:fldChar w:fldCharType="begin"/>
        </w:r>
        <w:r>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Pr>
            <w:color w:val="0000FF"/>
            <w14:shadow w14:blurRad="50800" w14:dist="38100" w14:dir="2700000" w14:sx="100000" w14:sy="100000" w14:kx="0" w14:ky="0" w14:algn="tl">
              <w14:srgbClr w14:val="000000">
                <w14:alpha w14:val="60000"/>
              </w14:srgbClr>
            </w14:shadow>
          </w:rPr>
          <w:fldChar w:fldCharType="separate"/>
        </w:r>
        <w:r w:rsidR="00000000">
          <w:rPr>
            <w:color w:val="0000FF"/>
            <w14:shadow w14:blurRad="50800" w14:dist="38100" w14:dir="2700000" w14:sx="100000" w14:sy="100000" w14:kx="0" w14:ky="0" w14:algn="tl">
              <w14:srgbClr w14:val="000000">
                <w14:alpha w14:val="60000"/>
              </w14:srgbClr>
            </w14:shadow>
          </w:rPr>
          <w:fldChar w:fldCharType="begin"/>
        </w:r>
        <w:r w:rsidR="00000000">
          <w:rPr>
            <w:color w:val="0000FF"/>
            <w14:shadow w14:blurRad="50800" w14:dist="38100" w14:dir="2700000" w14:sx="100000" w14:sy="100000" w14:kx="0" w14:ky="0" w14:algn="tl">
              <w14:srgbClr w14:val="000000">
                <w14:alpha w14:val="60000"/>
              </w14:srgbClr>
            </w14:shadow>
          </w:rPr>
          <w:instrText xml:space="preserve"> INCLUDEPICTURE  "http://t2.gstatic.com/images?q=tbn:ANd9GcQebf9UVoTATbwhS9auCTlU-SN3hYKCuofUIW7ES-oWq4__xnbhJcSOo2kG" \* MERGEFORMATINET </w:instrText>
        </w:r>
        <w:r w:rsidR="00000000">
          <w:rPr>
            <w:color w:val="0000FF"/>
            <w14:shadow w14:blurRad="50800" w14:dist="38100" w14:dir="2700000" w14:sx="100000" w14:sy="100000" w14:kx="0" w14:ky="0" w14:algn="tl">
              <w14:srgbClr w14:val="000000">
                <w14:alpha w14:val="60000"/>
              </w14:srgbClr>
            </w14:shadow>
          </w:rPr>
          <w:fldChar w:fldCharType="separate"/>
        </w:r>
        <w:r w:rsidR="00C43D20">
          <w:rPr>
            <w:color w:val="0000FF"/>
            <w14:shadow w14:blurRad="50800" w14:dist="38100" w14:dir="2700000" w14:sx="100000" w14:sy="100000" w14:kx="0" w14:ky="0" w14:algn="tl">
              <w14:srgbClr w14:val="000000">
                <w14:alpha w14:val="60000"/>
              </w14:srgbClr>
            </w14:shadow>
          </w:rPr>
          <w:pict w14:anchorId="791C3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4pt" o:button="t">
              <v:imagedata r:id="rId12" r:href="rId13"/>
            </v:shape>
          </w:pict>
        </w:r>
        <w:r w:rsidR="00000000">
          <w:rPr>
            <w:color w:val="0000FF"/>
            <w14:shadow w14:blurRad="50800" w14:dist="38100" w14:dir="2700000" w14:sx="100000" w14:sy="100000" w14:kx="0" w14:ky="0" w14:algn="tl">
              <w14:srgbClr w14:val="000000">
                <w14:alpha w14:val="60000"/>
              </w14:srgbClr>
            </w14:shadow>
          </w:rPr>
          <w:fldChar w:fldCharType="end"/>
        </w:r>
        <w:r>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00DE27A8"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r w:rsidR="00C94181" w:rsidRPr="00CC5AC6">
          <w:rPr>
            <w:color w:val="0000FF"/>
            <w14:shadow w14:blurRad="50800" w14:dist="38100" w14:dir="2700000" w14:sx="100000" w14:sy="100000" w14:kx="0" w14:ky="0" w14:algn="tl">
              <w14:srgbClr w14:val="000000">
                <w14:alpha w14:val="60000"/>
              </w14:srgbClr>
            </w14:shadow>
          </w:rPr>
          <w:fldChar w:fldCharType="end"/>
        </w:r>
        <w:r w:rsidR="00DF3950" w:rsidRPr="00CC5AC6">
          <w:rPr>
            <w:color w:val="0000FF"/>
            <w14:shadow w14:blurRad="50800" w14:dist="38100" w14:dir="2700000" w14:sx="100000" w14:sy="100000" w14:kx="0" w14:ky="0" w14:algn="tl">
              <w14:srgbClr w14:val="000000">
                <w14:alpha w14:val="60000"/>
              </w14:srgbClr>
            </w14:shadow>
          </w:rPr>
          <w:fldChar w:fldCharType="end"/>
        </w:r>
        <w:r w:rsidR="008C14E4" w:rsidRPr="00CC5AC6">
          <w:rPr>
            <w:color w:val="0000FF"/>
            <w14:shadow w14:blurRad="50800" w14:dist="38100" w14:dir="2700000" w14:sx="100000" w14:sy="100000" w14:kx="0" w14:ky="0" w14:algn="tl">
              <w14:srgbClr w14:val="000000">
                <w14:alpha w14:val="60000"/>
              </w14:srgbClr>
            </w14:shadow>
          </w:rPr>
          <w:fldChar w:fldCharType="end"/>
        </w:r>
        <w:r w:rsidR="004C1327" w:rsidRPr="00CC5AC6">
          <w:rPr>
            <w:color w:val="0000FF"/>
            <w14:shadow w14:blurRad="50800" w14:dist="38100" w14:dir="2700000" w14:sx="100000" w14:sy="100000" w14:kx="0" w14:ky="0" w14:algn="tl">
              <w14:srgbClr w14:val="000000">
                <w14:alpha w14:val="60000"/>
              </w14:srgbClr>
            </w14:shadow>
          </w:rPr>
          <w:fldChar w:fldCharType="end"/>
        </w:r>
        <w:r w:rsidR="00395779" w:rsidRPr="00CC5AC6">
          <w:rPr>
            <w:color w:val="0000FF"/>
            <w14:shadow w14:blurRad="50800" w14:dist="38100" w14:dir="2700000" w14:sx="100000" w14:sy="100000" w14:kx="0" w14:ky="0" w14:algn="tl">
              <w14:srgbClr w14:val="000000">
                <w14:alpha w14:val="60000"/>
              </w14:srgbClr>
            </w14:shadow>
          </w:rPr>
          <w:fldChar w:fldCharType="end"/>
        </w:r>
        <w:r w:rsidR="00A90463" w:rsidRPr="00CC5AC6">
          <w:rPr>
            <w:color w:val="0000FF"/>
            <w14:shadow w14:blurRad="50800" w14:dist="38100" w14:dir="2700000" w14:sx="100000" w14:sy="100000" w14:kx="0" w14:ky="0" w14:algn="tl">
              <w14:srgbClr w14:val="000000">
                <w14:alpha w14:val="60000"/>
              </w14:srgbClr>
            </w14:shadow>
          </w:rPr>
          <w:fldChar w:fldCharType="end"/>
        </w:r>
        <w:r w:rsidR="00F65A31" w:rsidRPr="00CC5AC6">
          <w:rPr>
            <w:color w:val="0000FF"/>
            <w14:shadow w14:blurRad="50800" w14:dist="38100" w14:dir="2700000" w14:sx="100000" w14:sy="100000" w14:kx="0" w14:ky="0" w14:algn="tl">
              <w14:srgbClr w14:val="000000">
                <w14:alpha w14:val="60000"/>
              </w14:srgbClr>
            </w14:shadow>
          </w:rPr>
          <w:fldChar w:fldCharType="end"/>
        </w:r>
        <w:r w:rsidR="00F14257" w:rsidRPr="00CC5AC6">
          <w:rPr>
            <w:color w:val="0000FF"/>
            <w14:shadow w14:blurRad="50800" w14:dist="38100" w14:dir="2700000" w14:sx="100000" w14:sy="100000" w14:kx="0" w14:ky="0" w14:algn="tl">
              <w14:srgbClr w14:val="000000">
                <w14:alpha w14:val="60000"/>
              </w14:srgbClr>
            </w14:shadow>
          </w:rPr>
          <w:fldChar w:fldCharType="end"/>
        </w:r>
        <w:r w:rsidR="00A16478" w:rsidRPr="00CC5AC6">
          <w:rPr>
            <w:color w:val="0000FF"/>
            <w14:shadow w14:blurRad="50800" w14:dist="38100" w14:dir="2700000" w14:sx="100000" w14:sy="100000" w14:kx="0" w14:ky="0" w14:algn="tl">
              <w14:srgbClr w14:val="000000">
                <w14:alpha w14:val="60000"/>
              </w14:srgbClr>
            </w14:shadow>
          </w:rPr>
          <w:fldChar w:fldCharType="end"/>
        </w:r>
        <w:r w:rsidR="006721FF" w:rsidRPr="00CC5AC6">
          <w:rPr>
            <w:color w:val="0000FF"/>
            <w14:shadow w14:blurRad="50800" w14:dist="38100" w14:dir="2700000" w14:sx="100000" w14:sy="100000" w14:kx="0" w14:ky="0" w14:algn="tl">
              <w14:srgbClr w14:val="000000">
                <w14:alpha w14:val="60000"/>
              </w14:srgbClr>
            </w14:shadow>
          </w:rPr>
          <w:fldChar w:fldCharType="end"/>
        </w:r>
        <w:r w:rsidR="00550409" w:rsidRPr="00CC5AC6">
          <w:rPr>
            <w:color w:val="0000FF"/>
            <w14:shadow w14:blurRad="50800" w14:dist="38100" w14:dir="2700000" w14:sx="100000" w14:sy="100000" w14:kx="0" w14:ky="0" w14:algn="tl">
              <w14:srgbClr w14:val="000000">
                <w14:alpha w14:val="60000"/>
              </w14:srgbClr>
            </w14:shadow>
          </w:rPr>
          <w:fldChar w:fldCharType="end"/>
        </w:r>
        <w:r w:rsidR="00070CFD" w:rsidRPr="00CC5AC6">
          <w:rPr>
            <w:color w:val="0000FF"/>
            <w14:shadow w14:blurRad="50800" w14:dist="38100" w14:dir="2700000" w14:sx="100000" w14:sy="100000" w14:kx="0" w14:ky="0" w14:algn="tl">
              <w14:srgbClr w14:val="000000">
                <w14:alpha w14:val="60000"/>
              </w14:srgbClr>
            </w14:shadow>
          </w:rPr>
          <w:fldChar w:fldCharType="end"/>
        </w:r>
        <w:r w:rsidR="009B041A" w:rsidRPr="00CC5AC6">
          <w:rPr>
            <w:color w:val="0000FF"/>
            <w14:shadow w14:blurRad="50800" w14:dist="38100" w14:dir="2700000" w14:sx="100000" w14:sy="100000" w14:kx="0" w14:ky="0" w14:algn="tl">
              <w14:srgbClr w14:val="000000">
                <w14:alpha w14:val="60000"/>
              </w14:srgbClr>
            </w14:shadow>
          </w:rPr>
          <w:fldChar w:fldCharType="end"/>
        </w:r>
        <w:r w:rsidRPr="00CC5AC6">
          <w:rPr>
            <w:color w:val="0000FF"/>
            <w14:shadow w14:blurRad="50800" w14:dist="38100" w14:dir="2700000" w14:sx="100000" w14:sy="100000" w14:kx="0" w14:ky="0" w14:algn="tl">
              <w14:srgbClr w14:val="000000">
                <w14:alpha w14:val="60000"/>
              </w14:srgbClr>
            </w14:shadow>
          </w:rPr>
          <w:fldChar w:fldCharType="end"/>
        </w:r>
      </w:hyperlink>
    </w:p>
    <w:p w14:paraId="2955DC63" w14:textId="77777777" w:rsidR="00A264A5" w:rsidRPr="00CC5AC6" w:rsidRDefault="00A264A5" w:rsidP="0009691E">
      <w:pPr>
        <w:tabs>
          <w:tab w:val="left" w:pos="0"/>
        </w:tabs>
        <w:jc w:val="center"/>
        <w:rPr>
          <w:b/>
          <w14:shadow w14:blurRad="50800" w14:dist="38100" w14:dir="2700000" w14:sx="100000" w14:sy="100000" w14:kx="0" w14:ky="0" w14:algn="tl">
            <w14:srgbClr w14:val="000000">
              <w14:alpha w14:val="60000"/>
            </w14:srgbClr>
          </w14:shadow>
        </w:rPr>
      </w:pPr>
      <w:r w:rsidRPr="00CC5AC6">
        <w:rPr>
          <w:b/>
          <w14:shadow w14:blurRad="50800" w14:dist="38100" w14:dir="2700000" w14:sx="100000" w14:sy="100000" w14:kx="0" w14:ky="0" w14:algn="tl">
            <w14:srgbClr w14:val="000000">
              <w14:alpha w14:val="60000"/>
            </w14:srgbClr>
          </w14:shadow>
        </w:rPr>
        <w:t>CURTEA DE APEL ORADEA</w:t>
      </w:r>
    </w:p>
    <w:p w14:paraId="5DF480FA" w14:textId="77777777" w:rsidR="00A264A5" w:rsidRPr="00CC5AC6" w:rsidRDefault="00A264A5" w:rsidP="0009691E">
      <w:pPr>
        <w:tabs>
          <w:tab w:val="left" w:pos="0"/>
        </w:tabs>
        <w:ind w:hanging="426"/>
        <w:jc w:val="center"/>
        <w:rPr>
          <w:b/>
        </w:rPr>
      </w:pPr>
      <w:r w:rsidRPr="00CC5AC6">
        <w:rPr>
          <w:b/>
        </w:rPr>
        <w:t>ADUNAREA GENERALĂ A JUDECĂTORILOR</w:t>
      </w:r>
    </w:p>
    <w:p w14:paraId="0804EDCF" w14:textId="77777777" w:rsidR="00A264A5" w:rsidRPr="00CC5AC6" w:rsidRDefault="00A264A5" w:rsidP="0009691E">
      <w:pPr>
        <w:pStyle w:val="Header"/>
        <w:jc w:val="both"/>
        <w:rPr>
          <w:b/>
          <w:sz w:val="24"/>
          <w:szCs w:val="24"/>
          <w:lang w:val="ro-RO"/>
        </w:rPr>
      </w:pPr>
      <w:r w:rsidRPr="00CC5AC6">
        <w:rPr>
          <w:noProof/>
          <w:sz w:val="24"/>
          <w:szCs w:val="24"/>
          <w:lang w:val="ro-RO"/>
        </w:rPr>
        <mc:AlternateContent>
          <mc:Choice Requires="wps">
            <w:drawing>
              <wp:anchor distT="0" distB="0" distL="114300" distR="114300" simplePos="0" relativeHeight="251659264" behindDoc="0" locked="0" layoutInCell="1" allowOverlap="1" wp14:anchorId="4A2B966D" wp14:editId="0536ACB1">
                <wp:simplePos x="0" y="0"/>
                <wp:positionH relativeFrom="column">
                  <wp:posOffset>0</wp:posOffset>
                </wp:positionH>
                <wp:positionV relativeFrom="paragraph">
                  <wp:posOffset>61595</wp:posOffset>
                </wp:positionV>
                <wp:extent cx="1943100" cy="272415"/>
                <wp:effectExtent l="13970" t="12700" r="5080" b="10160"/>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72415"/>
                        </a:xfrm>
                        <a:prstGeom prst="rect">
                          <a:avLst/>
                        </a:prstGeom>
                        <a:solidFill>
                          <a:srgbClr val="0000FF"/>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D0A45" id="Dreptunghi 3" o:spid="_x0000_s1026" style="position:absolute;margin-left:0;margin-top:4.85pt;width:153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" fillcolor="blue" strokecolor="navy"/>
            </w:pict>
          </mc:Fallback>
        </mc:AlternateContent>
      </w:r>
      <w:r w:rsidRPr="00CC5AC6">
        <w:rPr>
          <w:noProof/>
          <w:sz w:val="24"/>
          <w:szCs w:val="24"/>
          <w:lang w:val="ro-RO"/>
        </w:rPr>
        <mc:AlternateContent>
          <mc:Choice Requires="wps">
            <w:drawing>
              <wp:anchor distT="0" distB="0" distL="114300" distR="114300" simplePos="0" relativeHeight="251660288" behindDoc="0" locked="0" layoutInCell="1" allowOverlap="1" wp14:anchorId="1D8BB4A8" wp14:editId="139E46E8">
                <wp:simplePos x="0" y="0"/>
                <wp:positionH relativeFrom="column">
                  <wp:posOffset>1943100</wp:posOffset>
                </wp:positionH>
                <wp:positionV relativeFrom="paragraph">
                  <wp:posOffset>57785</wp:posOffset>
                </wp:positionV>
                <wp:extent cx="2176145" cy="273050"/>
                <wp:effectExtent l="13970" t="8890" r="10160" b="1333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145" cy="273050"/>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14C99" id="Dreptunghi 2" o:spid="_x0000_s1026" style="position:absolute;margin-left:153pt;margin-top:4.55pt;width:171.3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" fillcolor="yellow" strokecolor="yellow"/>
            </w:pict>
          </mc:Fallback>
        </mc:AlternateContent>
      </w:r>
      <w:r w:rsidRPr="00CC5AC6">
        <w:rPr>
          <w:noProof/>
          <w:sz w:val="24"/>
          <w:szCs w:val="24"/>
          <w:lang w:val="ro-RO"/>
        </w:rPr>
        <mc:AlternateContent>
          <mc:Choice Requires="wps">
            <w:drawing>
              <wp:anchor distT="0" distB="0" distL="114300" distR="114300" simplePos="0" relativeHeight="251661312" behindDoc="0" locked="0" layoutInCell="1" allowOverlap="1" wp14:anchorId="3A12FCC3" wp14:editId="05778D73">
                <wp:simplePos x="0" y="0"/>
                <wp:positionH relativeFrom="column">
                  <wp:posOffset>3771900</wp:posOffset>
                </wp:positionH>
                <wp:positionV relativeFrom="paragraph">
                  <wp:posOffset>57785</wp:posOffset>
                </wp:positionV>
                <wp:extent cx="2057400" cy="273050"/>
                <wp:effectExtent l="13970" t="8890" r="5080" b="13335"/>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7305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1836" id="Dreptunghi 1" o:spid="_x0000_s1026" style="position:absolute;margin-left:297pt;margin-top:4.55pt;width:162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" fillcolor="red" strokecolor="red"/>
            </w:pict>
          </mc:Fallback>
        </mc:AlternateContent>
      </w:r>
    </w:p>
    <w:p w14:paraId="4023E2C2" w14:textId="77777777" w:rsidR="00A264A5" w:rsidRPr="00CC5AC6" w:rsidRDefault="00A264A5" w:rsidP="0009691E">
      <w:pPr>
        <w:tabs>
          <w:tab w:val="left" w:pos="5835"/>
        </w:tabs>
        <w:jc w:val="both"/>
      </w:pPr>
      <w:r w:rsidRPr="00CC5AC6">
        <w:t xml:space="preserve">                                         </w:t>
      </w:r>
    </w:p>
    <w:p w14:paraId="3BBF0E09" w14:textId="77777777" w:rsidR="00A264A5" w:rsidRPr="00CC5AC6" w:rsidRDefault="00A264A5" w:rsidP="0009691E">
      <w:pPr>
        <w:jc w:val="both"/>
        <w:rPr>
          <w:b/>
        </w:rPr>
      </w:pPr>
    </w:p>
    <w:p w14:paraId="2B8A35C7" w14:textId="77777777" w:rsidR="00A264A5" w:rsidRPr="00CC5AC6" w:rsidRDefault="00A264A5" w:rsidP="0009691E">
      <w:pPr>
        <w:jc w:val="both"/>
        <w:rPr>
          <w:bCs/>
        </w:rPr>
      </w:pPr>
    </w:p>
    <w:p w14:paraId="3A7007E9" w14:textId="30107C66" w:rsidR="00901DA5" w:rsidRPr="00CC5AC6" w:rsidRDefault="00901DA5" w:rsidP="0009691E">
      <w:pPr>
        <w:jc w:val="center"/>
        <w:rPr>
          <w:b/>
          <w:color w:val="FF0000"/>
        </w:rPr>
      </w:pPr>
      <w:r w:rsidRPr="00CC5AC6">
        <w:rPr>
          <w:b/>
        </w:rPr>
        <w:t xml:space="preserve">HOTĂRÂREA NR. </w:t>
      </w:r>
      <w:r w:rsidR="00A87295" w:rsidRPr="00CC5AC6">
        <w:rPr>
          <w:b/>
        </w:rPr>
        <w:t>2</w:t>
      </w:r>
    </w:p>
    <w:p w14:paraId="124EE812" w14:textId="4AE3DA25" w:rsidR="00A264A5" w:rsidRPr="00393DD5" w:rsidRDefault="00901DA5" w:rsidP="0009691E">
      <w:pPr>
        <w:jc w:val="center"/>
        <w:rPr>
          <w:b/>
          <w:bCs/>
          <w:u w:val="single"/>
        </w:rPr>
      </w:pPr>
      <w:r w:rsidRPr="00CC5AC6">
        <w:t xml:space="preserve">din data de </w:t>
      </w:r>
      <w:r w:rsidR="00A87295" w:rsidRPr="00393DD5">
        <w:t>2</w:t>
      </w:r>
      <w:r w:rsidR="003E77DF" w:rsidRPr="00393DD5">
        <w:t>6</w:t>
      </w:r>
      <w:r w:rsidR="00A87295" w:rsidRPr="00393DD5">
        <w:t xml:space="preserve"> august</w:t>
      </w:r>
      <w:r w:rsidRPr="00393DD5">
        <w:t xml:space="preserve"> 202</w:t>
      </w:r>
      <w:r w:rsidR="0018650D" w:rsidRPr="00393DD5">
        <w:t>5</w:t>
      </w:r>
    </w:p>
    <w:p w14:paraId="603C15A3" w14:textId="77777777" w:rsidR="00A264A5" w:rsidRPr="00393DD5" w:rsidRDefault="00A264A5" w:rsidP="0009691E">
      <w:pPr>
        <w:jc w:val="center"/>
        <w:rPr>
          <w:b/>
          <w:bCs/>
          <w:u w:val="single"/>
        </w:rPr>
      </w:pPr>
    </w:p>
    <w:p w14:paraId="3D388175" w14:textId="25998198" w:rsidR="00442C5A" w:rsidRPr="00393DD5" w:rsidRDefault="00A264A5" w:rsidP="0009691E">
      <w:pPr>
        <w:ind w:firstLine="708"/>
        <w:jc w:val="both"/>
        <w:rPr>
          <w:i/>
          <w:iCs/>
        </w:rPr>
      </w:pPr>
      <w:r w:rsidRPr="00393DD5">
        <w:t>Adunarea generală a judecătorilor a fost convocată</w:t>
      </w:r>
      <w:r w:rsidR="00CA57A2" w:rsidRPr="00393DD5">
        <w:t xml:space="preserve"> de </w:t>
      </w:r>
      <w:r w:rsidR="0018650D" w:rsidRPr="00393DD5">
        <w:t xml:space="preserve">Secția </w:t>
      </w:r>
      <w:r w:rsidR="000A2D56" w:rsidRPr="00393DD5">
        <w:t xml:space="preserve">pentru judecători a </w:t>
      </w:r>
      <w:r w:rsidR="00CA57A2" w:rsidRPr="00393DD5">
        <w:t>Consiliului Superior al Magistraturii</w:t>
      </w:r>
      <w:r w:rsidRPr="00393DD5">
        <w:t>,</w:t>
      </w:r>
      <w:r w:rsidR="00442C5A" w:rsidRPr="00393DD5">
        <w:t xml:space="preserve"> în temeiul dispozițiilor art. 55 alin. 4 din Legea nr. 304/2022 privind organizarea judiciară, </w:t>
      </w:r>
      <w:r w:rsidR="009F12AE" w:rsidRPr="00393DD5">
        <w:rPr>
          <w:i/>
          <w:iCs/>
        </w:rPr>
        <w:t>având pe ordinea de zi</w:t>
      </w:r>
      <w:r w:rsidR="00F71EAE" w:rsidRPr="00393DD5">
        <w:rPr>
          <w:i/>
          <w:iCs/>
        </w:rPr>
        <w:t>, ca unic punct</w:t>
      </w:r>
      <w:r w:rsidR="008F26BD" w:rsidRPr="00393DD5">
        <w:rPr>
          <w:i/>
          <w:iCs/>
        </w:rPr>
        <w:t>:</w:t>
      </w:r>
      <w:r w:rsidR="00F71EAE" w:rsidRPr="00393DD5">
        <w:rPr>
          <w:i/>
          <w:iCs/>
        </w:rPr>
        <w:t xml:space="preserve"> </w:t>
      </w:r>
      <w:r w:rsidR="00F71EAE" w:rsidRPr="00393DD5">
        <w:rPr>
          <w:b/>
          <w:bCs/>
          <w:i/>
          <w:iCs/>
        </w:rPr>
        <w:t xml:space="preserve">solicitarea fermă adresată factorilor politici de a respecta statutul </w:t>
      </w:r>
      <w:r w:rsidR="00C90A17">
        <w:rPr>
          <w:b/>
          <w:bCs/>
          <w:i/>
          <w:iCs/>
        </w:rPr>
        <w:t>magistraţilor şi independenţa justiţiei</w:t>
      </w:r>
      <w:r w:rsidR="008F26BD" w:rsidRPr="00393DD5">
        <w:rPr>
          <w:i/>
          <w:iCs/>
        </w:rPr>
        <w:t>.</w:t>
      </w:r>
    </w:p>
    <w:p w14:paraId="16A929CE" w14:textId="689F57DD" w:rsidR="00092E02" w:rsidRPr="00393DD5" w:rsidRDefault="00D571EB" w:rsidP="0009691E">
      <w:pPr>
        <w:ind w:firstLine="708"/>
        <w:jc w:val="both"/>
      </w:pPr>
      <w:r w:rsidRPr="00393DD5">
        <w:t>La Adunarea generală a judecătorilor Curții de Apel Oradea din totalul de 3</w:t>
      </w:r>
      <w:r w:rsidR="0041255A" w:rsidRPr="00393DD5">
        <w:t>6</w:t>
      </w:r>
      <w:r w:rsidRPr="00393DD5">
        <w:t xml:space="preserve"> de judecători, au fost prezenţi </w:t>
      </w:r>
      <w:r w:rsidR="00787F03" w:rsidRPr="00393DD5">
        <w:t>20</w:t>
      </w:r>
      <w:r w:rsidRPr="00393DD5">
        <w:t xml:space="preserve">, </w:t>
      </w:r>
      <w:r w:rsidR="00DD758E" w:rsidRPr="00393DD5">
        <w:t xml:space="preserve">ceilalți </w:t>
      </w:r>
      <w:r w:rsidR="00234E96" w:rsidRPr="00393DD5">
        <w:t xml:space="preserve">judecători </w:t>
      </w:r>
      <w:r w:rsidR="00DD758E" w:rsidRPr="00393DD5">
        <w:t>exprimându-şi votul</w:t>
      </w:r>
      <w:r w:rsidR="00234E96" w:rsidRPr="00393DD5">
        <w:t xml:space="preserve"> online pe grupul de </w:t>
      </w:r>
      <w:r w:rsidR="009C4414" w:rsidRPr="00393DD5">
        <w:t>W</w:t>
      </w:r>
      <w:r w:rsidR="00234E96" w:rsidRPr="00393DD5">
        <w:t>hats</w:t>
      </w:r>
      <w:r w:rsidR="009C4414" w:rsidRPr="00393DD5">
        <w:t>A</w:t>
      </w:r>
      <w:r w:rsidR="00234E96" w:rsidRPr="00393DD5">
        <w:t>pp</w:t>
      </w:r>
      <w:r w:rsidR="00AF7B67" w:rsidRPr="00393DD5">
        <w:t xml:space="preserve">. </w:t>
      </w:r>
    </w:p>
    <w:p w14:paraId="117ACBA8" w14:textId="11CA226D" w:rsidR="00EE7C4F" w:rsidRPr="00CC5AC6" w:rsidRDefault="00EE7C4F" w:rsidP="0009691E">
      <w:pPr>
        <w:ind w:firstLine="708"/>
        <w:jc w:val="both"/>
      </w:pPr>
      <w:r w:rsidRPr="00CC5AC6">
        <w:t xml:space="preserve">Adunarea generală a judecătorilor este legal constituită, fiind prezentă majoritatea judecătorilor în funcție, în conformitate cu dispozițiile art. </w:t>
      </w:r>
      <w:r w:rsidR="00495245" w:rsidRPr="00CC5AC6">
        <w:t>1</w:t>
      </w:r>
      <w:r w:rsidR="00E5430B" w:rsidRPr="00CC5AC6">
        <w:t>4</w:t>
      </w:r>
      <w:r w:rsidRPr="00CC5AC6">
        <w:t xml:space="preserve"> alin. (</w:t>
      </w:r>
      <w:r w:rsidR="00E5430B" w:rsidRPr="00CC5AC6">
        <w:t>3</w:t>
      </w:r>
      <w:r w:rsidRPr="00CC5AC6">
        <w:t>) din Regulamentul</w:t>
      </w:r>
      <w:r w:rsidR="00495245" w:rsidRPr="00CC5AC6">
        <w:t xml:space="preserve"> de ordine interioară al instanțelor judecătorești</w:t>
      </w:r>
      <w:r w:rsidR="00C97185" w:rsidRPr="00CC5AC6">
        <w:t>,</w:t>
      </w:r>
      <w:r w:rsidR="00E5430B" w:rsidRPr="00CC5AC6">
        <w:t xml:space="preserve"> </w:t>
      </w:r>
      <w:r w:rsidR="00C97185" w:rsidRPr="00CC5AC6">
        <w:t>aprobat prin Hotărârea nr. 3243/2022 a Secției pentru judecători a Consiliului Superior al Magistraturii.</w:t>
      </w:r>
    </w:p>
    <w:p w14:paraId="2D0EA4CC" w14:textId="42374291" w:rsidR="00DB4F8E" w:rsidRPr="00CC5AC6" w:rsidRDefault="00A264A5" w:rsidP="0009691E">
      <w:pPr>
        <w:ind w:firstLine="708"/>
        <w:jc w:val="both"/>
      </w:pPr>
      <w:r w:rsidRPr="00CC5AC6">
        <w:t>Secretariatul adunării a fost</w:t>
      </w:r>
      <w:r w:rsidR="00E00B83" w:rsidRPr="00CC5AC6">
        <w:t xml:space="preserve"> asigurat</w:t>
      </w:r>
      <w:r w:rsidRPr="00CC5AC6">
        <w:t xml:space="preserve"> de doamna </w:t>
      </w:r>
      <w:r w:rsidR="0007299D" w:rsidRPr="00CC5AC6">
        <w:t>grefier Micula Mihaela, care înlocuiește prim-grefierul Curţii de Apel Oradea, aflat în concediu de odihnă, potrivit Deciziei nr. 121 din 16 decembrie 2024 a Președintelui Curții de Apel Oradea, privind organizarea activităţii administrativ-judiciare din cadrul Curţii de Apel Oradea, pentru anul 2025.</w:t>
      </w:r>
    </w:p>
    <w:p w14:paraId="1B6BC3AA" w14:textId="77777777" w:rsidR="0007299D" w:rsidRPr="00CC5AC6" w:rsidRDefault="0007299D" w:rsidP="0009691E">
      <w:pPr>
        <w:ind w:firstLine="708"/>
        <w:jc w:val="both"/>
      </w:pPr>
    </w:p>
    <w:p w14:paraId="4C75B5E6" w14:textId="77777777" w:rsidR="008B7E33" w:rsidRPr="00CC5AC6" w:rsidRDefault="008B7E33" w:rsidP="0009691E">
      <w:pPr>
        <w:tabs>
          <w:tab w:val="left" w:pos="0"/>
        </w:tabs>
        <w:jc w:val="center"/>
        <w:rPr>
          <w:b/>
        </w:rPr>
      </w:pPr>
      <w:r w:rsidRPr="00CC5AC6">
        <w:rPr>
          <w:b/>
        </w:rPr>
        <w:t>ADUNAREA GENERALĂ A JUDECĂTORILOR</w:t>
      </w:r>
    </w:p>
    <w:p w14:paraId="74E7FBEA" w14:textId="77777777" w:rsidR="00A264A5" w:rsidRPr="00CC5AC6" w:rsidRDefault="00A264A5" w:rsidP="0009691E">
      <w:pPr>
        <w:jc w:val="both"/>
        <w:rPr>
          <w:bCs/>
        </w:rPr>
      </w:pPr>
    </w:p>
    <w:p w14:paraId="2A776F51" w14:textId="42793A98" w:rsidR="004F71F7" w:rsidRPr="00CC5AC6" w:rsidRDefault="004F71F7" w:rsidP="0009691E">
      <w:pPr>
        <w:ind w:firstLine="708"/>
        <w:jc w:val="both"/>
        <w:rPr>
          <w:bCs/>
        </w:rPr>
      </w:pPr>
      <w:r w:rsidRPr="00CC5AC6">
        <w:rPr>
          <w:bCs/>
        </w:rPr>
        <w:t>Reținând că</w:t>
      </w:r>
      <w:r w:rsidR="00176693" w:rsidRPr="00CC5AC6">
        <w:rPr>
          <w:bCs/>
        </w:rPr>
        <w:t>,</w:t>
      </w:r>
      <w:r w:rsidRPr="00CC5AC6">
        <w:rPr>
          <w:bCs/>
        </w:rPr>
        <w:t xml:space="preserve"> la data de 20.08.2025 Ministerul Muncii, Familiei, Tineretului și Solidarității Sociale a transmis Consiliului Superior al Magistraturii proiectul de Lege pentru modificarea și completarea unor acte normative din domeniul pensiilor de serviciu în vederea comunicării unui punct de vedere,</w:t>
      </w:r>
    </w:p>
    <w:p w14:paraId="42F63990" w14:textId="77777777" w:rsidR="004F71F7" w:rsidRPr="00CC5AC6" w:rsidRDefault="004F71F7" w:rsidP="0009691E">
      <w:pPr>
        <w:ind w:firstLine="708"/>
        <w:jc w:val="both"/>
        <w:rPr>
          <w:bCs/>
        </w:rPr>
      </w:pPr>
      <w:r w:rsidRPr="00CC5AC6">
        <w:rPr>
          <w:bCs/>
        </w:rPr>
        <w:t>Date fiind luările de poziție repetate ale reprezentanților partidelor care compun coaliția de guvernare, care, într-o manieră incalificabilă, urmăresc să culpabilizeze sistemul judiciar pentru dificultățile economice și bugetare cu care se confruntă societatea românească în prezent și să distragă atenția de la cauzele adevărate ale acestora,</w:t>
      </w:r>
    </w:p>
    <w:p w14:paraId="7B0B198F" w14:textId="77777777" w:rsidR="004F71F7" w:rsidRPr="00CC5AC6" w:rsidRDefault="004F71F7" w:rsidP="0009691E">
      <w:pPr>
        <w:ind w:firstLine="708"/>
        <w:jc w:val="both"/>
        <w:rPr>
          <w:bCs/>
        </w:rPr>
      </w:pPr>
      <w:r w:rsidRPr="00CC5AC6">
        <w:rPr>
          <w:bCs/>
        </w:rPr>
        <w:t>Având în vedere intensificarea campaniei pe care diferite instituții media o derulează împotriva sistemului judiciar pentru a completa retorica susținută de factorul politic în vederea destabilizării sistemului de justiție și promovarea agresivă, din zona aceluiași factor politic și a mass-mediei care îl susține, a ideii că intenția prim-ministrului Guvernului României de a modifica regimul pensiilor de serviciu ale judecătorilor și procurorilor ar urmări de fapt să pună capăt unor privilegii ale magistraților,</w:t>
      </w:r>
    </w:p>
    <w:p w14:paraId="73E07164" w14:textId="77777777" w:rsidR="004F71F7" w:rsidRPr="00CC5AC6" w:rsidRDefault="004F71F7" w:rsidP="0009691E">
      <w:pPr>
        <w:ind w:firstLine="708"/>
        <w:jc w:val="both"/>
        <w:rPr>
          <w:bCs/>
        </w:rPr>
      </w:pPr>
      <w:r w:rsidRPr="00CC5AC6">
        <w:rPr>
          <w:bCs/>
        </w:rPr>
        <w:t>Luând în considerare că prin ignorarea argumentelor reprezentanților sistemului judiciar și prin punerea constantă în discuție a statutului judecătorilor și procurorilor, în atmosfera de ură publică generată de acțiunile iresponsabile ale factorului politic, se creează un risc major de demoralizare a judecătorilor și procurorilor aflați în funcție și este afectată grav atractivitatea magistraturii în rândul tinerilor, cu efecte devastatoare asupra stabilității resursei umane și profesionalismului în sistemul judiciar,</w:t>
      </w:r>
    </w:p>
    <w:p w14:paraId="19EA123A" w14:textId="7B628F20" w:rsidR="004F71F7" w:rsidRPr="00CC5AC6" w:rsidRDefault="004F71F7" w:rsidP="0009691E">
      <w:pPr>
        <w:ind w:firstLine="708"/>
        <w:jc w:val="both"/>
        <w:rPr>
          <w:bCs/>
        </w:rPr>
      </w:pPr>
      <w:r w:rsidRPr="00CC5AC6">
        <w:rPr>
          <w:bCs/>
        </w:rPr>
        <w:lastRenderedPageBreak/>
        <w:t>Observând disprețul pe care unii exponenți ai factorului politic sau din mass-media îl manifestă constant față de magistrați, în condițiile în care sunt bine cunoscute eforturile judecătorilor și procurorilor care își exercită atribuțiile cu onestitate și profesionalism, gestionând un volum uriaș de activitate, la un nivel de calitate și eficiență superior mediei înregistrate în statele Uniunii Europene,</w:t>
      </w:r>
    </w:p>
    <w:p w14:paraId="43C9FFA2" w14:textId="77777777" w:rsidR="004F71F7" w:rsidRPr="00CC5AC6" w:rsidRDefault="004F71F7" w:rsidP="0009691E">
      <w:pPr>
        <w:ind w:firstLine="708"/>
        <w:jc w:val="both"/>
        <w:rPr>
          <w:bCs/>
        </w:rPr>
      </w:pPr>
      <w:r w:rsidRPr="00CC5AC6">
        <w:rPr>
          <w:bCs/>
        </w:rPr>
        <w:t>Creându-se un risc major ca toate acțiunile menționate în cele ce preced să inducă cetățenilor ideea că sistemul judiciar este doar un instrument la discreția factorului politic, care, în pofida oricărei valori a statului de drept, ar putea să impună justiției tot ceea ce își dorește, situație în care independența acesteia și cursul democratic al societății românești ar deveni simple iluzii,</w:t>
      </w:r>
    </w:p>
    <w:p w14:paraId="3760BC0C" w14:textId="77777777" w:rsidR="004F71F7" w:rsidRPr="00CC5AC6" w:rsidRDefault="004F71F7" w:rsidP="0009691E">
      <w:pPr>
        <w:ind w:firstLine="708"/>
        <w:jc w:val="both"/>
        <w:rPr>
          <w:bCs/>
        </w:rPr>
      </w:pPr>
      <w:r w:rsidRPr="00CC5AC6">
        <w:rPr>
          <w:bCs/>
        </w:rPr>
        <w:t>Fiind imperios necesar ca celelalte puteri în stat să evalueze atent și responsabil orice demers normativ sau de altă natură care ar viza sistemul judiciar, astfel încât să fie asigurate respectarea independenței justiției, cu toate componentele sale, certitudinea juridică și predictibilitatea statutului judecătorilor și procurorilor,</w:t>
      </w:r>
    </w:p>
    <w:p w14:paraId="151AFC2B" w14:textId="77777777" w:rsidR="004F71F7" w:rsidRPr="00CC5AC6" w:rsidRDefault="004F71F7" w:rsidP="0009691E">
      <w:pPr>
        <w:ind w:firstLine="708"/>
        <w:jc w:val="both"/>
        <w:rPr>
          <w:bCs/>
        </w:rPr>
      </w:pPr>
      <w:r w:rsidRPr="00CC5AC6">
        <w:rPr>
          <w:bCs/>
        </w:rPr>
        <w:t>Reținând că orice intervenție normativă sau de altă natură cu privire la judecători și procurori trebuie să fie precedată de un dialog real și constructiv cu sistemul judiciar, în care părțile vizate să fie efectiv ascultate și punctele de vedere ale acestora să fie luate în considerare, astfel încât să fie consolidate premisele pentru garantarea independenței justiției, inclusiv printr-o justificare transparentă a măsurilor și prin asigurarea proporționalității acestora cu specificul, complexitatea și riscurile inerente activității judiciare, dar și cu incompatibilitățile și interdicțiile impuse magistraților,</w:t>
      </w:r>
    </w:p>
    <w:p w14:paraId="4748AF00" w14:textId="77777777" w:rsidR="004F71F7" w:rsidRPr="00CC5AC6" w:rsidRDefault="004F71F7" w:rsidP="0009691E">
      <w:pPr>
        <w:ind w:firstLine="708"/>
        <w:jc w:val="both"/>
        <w:rPr>
          <w:bCs/>
        </w:rPr>
      </w:pPr>
      <w:r w:rsidRPr="00CC5AC6">
        <w:rPr>
          <w:bCs/>
        </w:rPr>
        <w:t>Subliniind că reforma pensiilor de serviciu ale judecătorilor și procurorilor a fost deja realizată prin adoptarea Legii nr. 282/2023 pentru modificarea și completarea unor acte normative din domeniul pensiilor de serviciu și a Legii nr. 227/2015 privind Codul fiscal, după ample dezbateri parlamentare și consultări cu sistemul judiciar și după realizarea controlului de constituționalitate, fiind agreată cu experții Comisiei Europene,</w:t>
      </w:r>
    </w:p>
    <w:p w14:paraId="4A6E6160" w14:textId="77777777" w:rsidR="004F71F7" w:rsidRPr="00CC5AC6" w:rsidRDefault="004F71F7" w:rsidP="0009691E">
      <w:pPr>
        <w:ind w:firstLine="708"/>
        <w:jc w:val="both"/>
        <w:rPr>
          <w:bCs/>
        </w:rPr>
      </w:pPr>
      <w:r w:rsidRPr="00CC5AC6">
        <w:rPr>
          <w:bCs/>
        </w:rPr>
        <w:t>Având în vedere că propunerile prezentate de inițiator nu sunt rezultatul vreunui dialog cu reprezentanții autorității judecătorești, ci constituie expresia unei atitudini inadmisibile care concretizează o poziție inflexibilă, de forță și de autoritate a puterii executive în raport cu puterea judecătorească, inacceptabilă într-o societate democratică și specifică societăților autocratice,</w:t>
      </w:r>
    </w:p>
    <w:p w14:paraId="079A7991" w14:textId="0DEC6F5F" w:rsidR="004F71F7" w:rsidRPr="00CC5AC6" w:rsidRDefault="004F71F7" w:rsidP="0009691E">
      <w:pPr>
        <w:ind w:firstLine="708"/>
        <w:jc w:val="both"/>
        <w:rPr>
          <w:bCs/>
        </w:rPr>
      </w:pPr>
      <w:r w:rsidRPr="00CC5AC6">
        <w:rPr>
          <w:bCs/>
        </w:rPr>
        <w:t>Apreciind că această atitudine</w:t>
      </w:r>
      <w:r w:rsidR="00176693" w:rsidRPr="00CC5AC6">
        <w:rPr>
          <w:bCs/>
        </w:rPr>
        <w:t>,</w:t>
      </w:r>
      <w:r w:rsidRPr="00CC5AC6">
        <w:rPr>
          <w:bCs/>
        </w:rPr>
        <w:t xml:space="preserve"> pe care a manifestat-o puterea executivă în încercarea reprezentanților autorității judecătorești de a purta un dialog referitor la propunerile legislative care vizează statutul judecătorilor și procurorilor</w:t>
      </w:r>
      <w:r w:rsidR="00176693" w:rsidRPr="00CC5AC6">
        <w:rPr>
          <w:bCs/>
        </w:rPr>
        <w:t>,</w:t>
      </w:r>
      <w:r w:rsidRPr="00CC5AC6">
        <w:rPr>
          <w:bCs/>
        </w:rPr>
        <w:t xml:space="preserve"> este contrară principiului constituțional al separației și echilibrului puterilor și principiului cooperării loiale și al respectului reciproc între autoritățile publice,</w:t>
      </w:r>
    </w:p>
    <w:p w14:paraId="405F4489" w14:textId="62D3DD7D" w:rsidR="004F71F7" w:rsidRPr="00CC5AC6" w:rsidRDefault="004F71F7" w:rsidP="0009691E">
      <w:pPr>
        <w:ind w:firstLine="708"/>
        <w:jc w:val="both"/>
        <w:rPr>
          <w:bCs/>
        </w:rPr>
      </w:pPr>
      <w:r w:rsidRPr="00CC5AC6">
        <w:rPr>
          <w:bCs/>
        </w:rPr>
        <w:t>Dat fiind că în contextul acestor vulnerabilități majore pentru activitatea autorității judecătorești se impune o consultare a judecătorilor cu privire Ia proiectul de lege transmis de Ministerul Muncii, Familiei, Tineretului și Solidarității Sociale și pentru a aprecia asupra măsurilor necesare în vederea apărării independenței justiției și garantării statutului magistraților într-un stat de drept</w:t>
      </w:r>
      <w:r w:rsidR="00176693" w:rsidRPr="00CC5AC6">
        <w:rPr>
          <w:bCs/>
        </w:rPr>
        <w:t>,</w:t>
      </w:r>
    </w:p>
    <w:p w14:paraId="12DD2B52" w14:textId="31A1D997" w:rsidR="00BE0C28" w:rsidRPr="00CC5AC6" w:rsidRDefault="00F71243" w:rsidP="0009691E">
      <w:pPr>
        <w:ind w:firstLine="708"/>
        <w:jc w:val="both"/>
        <w:rPr>
          <w:bCs/>
        </w:rPr>
      </w:pPr>
      <w:r w:rsidRPr="00CC5AC6">
        <w:rPr>
          <w:bCs/>
        </w:rPr>
        <w:t>Secția pentru judecători a Consiliului Superior al Magistraturii a decis convocarea adunărilor generale ale judecătorilor</w:t>
      </w:r>
      <w:r w:rsidR="000637B6" w:rsidRPr="00CC5AC6">
        <w:rPr>
          <w:bCs/>
        </w:rPr>
        <w:t xml:space="preserve"> </w:t>
      </w:r>
      <w:r w:rsidR="00BE0C28" w:rsidRPr="00CC5AC6">
        <w:rPr>
          <w:bCs/>
        </w:rPr>
        <w:t>în vederea exprimării unui punct de vedere referitor la proiectul de Lege pentru modificarea și completarea unor acte normative din domeniul pensiilor de serviciu și la măsurile necesare în vederea protejării statutului magistraților și a independenței justiției.</w:t>
      </w:r>
    </w:p>
    <w:p w14:paraId="57FEB8C7" w14:textId="77777777" w:rsidR="00BE0C28" w:rsidRPr="00CC5AC6" w:rsidRDefault="00BE0C28" w:rsidP="0009691E">
      <w:pPr>
        <w:ind w:firstLine="708"/>
        <w:jc w:val="both"/>
        <w:rPr>
          <w:bCs/>
        </w:rPr>
      </w:pPr>
    </w:p>
    <w:p w14:paraId="598CEC97" w14:textId="6C364821" w:rsidR="00A3479E" w:rsidRPr="00CC5AC6" w:rsidRDefault="00D81C42" w:rsidP="0009691E">
      <w:pPr>
        <w:ind w:firstLine="708"/>
        <w:jc w:val="both"/>
        <w:rPr>
          <w:i/>
          <w:iCs/>
        </w:rPr>
      </w:pPr>
      <w:r w:rsidRPr="00CC5AC6">
        <w:rPr>
          <w:i/>
          <w:iCs/>
        </w:rPr>
        <w:t>În cadrul dezbaterilor</w:t>
      </w:r>
      <w:r w:rsidR="001C23AB">
        <w:rPr>
          <w:i/>
          <w:iCs/>
        </w:rPr>
        <w:t>,</w:t>
      </w:r>
      <w:r w:rsidRPr="00CC5AC6">
        <w:rPr>
          <w:i/>
          <w:iCs/>
        </w:rPr>
        <w:t xml:space="preserve"> Adunarea Generală a avut în vedere</w:t>
      </w:r>
      <w:r w:rsidR="001C23AB">
        <w:rPr>
          <w:i/>
          <w:iCs/>
        </w:rPr>
        <w:t>,</w:t>
      </w:r>
      <w:r w:rsidR="00E33967" w:rsidRPr="00CC5AC6">
        <w:rPr>
          <w:i/>
          <w:iCs/>
        </w:rPr>
        <w:t xml:space="preserve"> pe l</w:t>
      </w:r>
      <w:r w:rsidR="002427D4" w:rsidRPr="00CC5AC6">
        <w:rPr>
          <w:i/>
          <w:iCs/>
        </w:rPr>
        <w:t>ângă aspectele cuprinse în convocatorul emis de C</w:t>
      </w:r>
      <w:r w:rsidR="00321630" w:rsidRPr="00CC5AC6">
        <w:rPr>
          <w:i/>
          <w:iCs/>
        </w:rPr>
        <w:t xml:space="preserve">onsiliul </w:t>
      </w:r>
      <w:r w:rsidR="002427D4" w:rsidRPr="00CC5AC6">
        <w:rPr>
          <w:i/>
          <w:iCs/>
        </w:rPr>
        <w:t>S</w:t>
      </w:r>
      <w:r w:rsidR="00321630" w:rsidRPr="00CC5AC6">
        <w:rPr>
          <w:i/>
          <w:iCs/>
        </w:rPr>
        <w:t xml:space="preserve">uperior al </w:t>
      </w:r>
      <w:r w:rsidR="002427D4" w:rsidRPr="00CC5AC6">
        <w:rPr>
          <w:i/>
          <w:iCs/>
        </w:rPr>
        <w:t>M</w:t>
      </w:r>
      <w:r w:rsidR="00321630" w:rsidRPr="00CC5AC6">
        <w:rPr>
          <w:i/>
          <w:iCs/>
        </w:rPr>
        <w:t>agistraturii</w:t>
      </w:r>
      <w:r w:rsidR="001C23AB">
        <w:rPr>
          <w:i/>
          <w:iCs/>
        </w:rPr>
        <w:t>,</w:t>
      </w:r>
      <w:r w:rsidR="002427D4" w:rsidRPr="00CC5AC6">
        <w:rPr>
          <w:i/>
          <w:iCs/>
        </w:rPr>
        <w:t xml:space="preserve"> şi</w:t>
      </w:r>
      <w:r w:rsidRPr="00CC5AC6">
        <w:rPr>
          <w:i/>
          <w:iCs/>
        </w:rPr>
        <w:t xml:space="preserve"> următoarele </w:t>
      </w:r>
      <w:r w:rsidR="008B243B" w:rsidRPr="00CC5AC6">
        <w:rPr>
          <w:i/>
          <w:iCs/>
        </w:rPr>
        <w:t>principii</w:t>
      </w:r>
      <w:r w:rsidRPr="00CC5AC6">
        <w:rPr>
          <w:i/>
          <w:iCs/>
        </w:rPr>
        <w:t>:</w:t>
      </w:r>
    </w:p>
    <w:p w14:paraId="2832F375" w14:textId="25B5C7C2" w:rsidR="00D315C4" w:rsidRPr="00CC5AC6" w:rsidRDefault="001C23AB" w:rsidP="0009691E">
      <w:pPr>
        <w:shd w:val="clear" w:color="auto" w:fill="FFFFFF" w:themeFill="background1"/>
        <w:ind w:left="35" w:right="14" w:firstLine="553"/>
        <w:jc w:val="both"/>
      </w:pPr>
      <w:r w:rsidRPr="00E57871">
        <w:rPr>
          <w:b/>
          <w:bCs/>
        </w:rPr>
        <w:t xml:space="preserve">- </w:t>
      </w:r>
      <w:r w:rsidR="00D315C4" w:rsidRPr="00E57871">
        <w:rPr>
          <w:b/>
          <w:bCs/>
        </w:rPr>
        <w:t>lipsa de previzibilitate şi stabilitate a statutului judecătorilor</w:t>
      </w:r>
      <w:r w:rsidR="00D315C4" w:rsidRPr="00CC5AC6">
        <w:t>, ca urmare a aşa-numitelor „reforme</w:t>
      </w:r>
      <w:r w:rsidR="00E57871">
        <w:t>”</w:t>
      </w:r>
      <w:r w:rsidR="00D315C4" w:rsidRPr="00CC5AC6">
        <w:t xml:space="preserve">, cu consecinţe dramatice asupra sistemului judiciar, care nu fac decât să submineze constant statutul magistraţilor, conducând la plecări masive din sistem şi la o creştere a dezinteresului faţă de profesie din partea absolvenţilor de drept sau a tinerilor </w:t>
      </w:r>
      <w:r w:rsidR="00D315C4" w:rsidRPr="00CC5AC6">
        <w:lastRenderedPageBreak/>
        <w:t>profesionişti - realităţi de natură să producă disfuncții în organizarea activităţii instanţelor, din cauza lipsei vădite a resurselor umane, agravată prin reluarea, anuală, a dezbaterilor privind statutului judecătorilor şi procurorilor, în condiţiile creşterii volumului de activitate al instanţelor şi al unui grad de încărcătura al judecătorilor mult peste media europeană,</w:t>
      </w:r>
    </w:p>
    <w:p w14:paraId="6D5D3D16" w14:textId="2E684CE3" w:rsidR="00D315C4" w:rsidRPr="00CC5AC6" w:rsidRDefault="00E57871" w:rsidP="0009691E">
      <w:pPr>
        <w:shd w:val="clear" w:color="auto" w:fill="FFFFFF" w:themeFill="background1"/>
        <w:ind w:left="35" w:right="14" w:firstLine="553"/>
        <w:jc w:val="both"/>
      </w:pPr>
      <w:r w:rsidRPr="00E57871">
        <w:rPr>
          <w:b/>
          <w:bCs/>
        </w:rPr>
        <w:t xml:space="preserve">- </w:t>
      </w:r>
      <w:r w:rsidR="00D315C4" w:rsidRPr="00E57871">
        <w:rPr>
          <w:b/>
          <w:bCs/>
        </w:rPr>
        <w:t>punerea şi repunerea în discuţie, în ultimii 7 ani, a statutului judecătorilor</w:t>
      </w:r>
      <w:r w:rsidR="00D315C4" w:rsidRPr="00CC5AC6">
        <w:t>, prin modificarea substanţială a Legilor Justiţiei (în 2017-2018), prin adoptarea unor noi Legi ale Justiţiei (proiectul fiind lansat în 2020, iar legile adoptate în 2022), prin rediscutarea pensiilor de serviciu ale judecătorilor şi procurorilor (în proiectele de acte normative din 2019, 2020, 2021), prin adoptarea Legii nr. 282/2023 şi, apoi, prin reluarea dezbaterilor asupra pensiilor de serviciu ale magistraţilor în 2024, respectiv prin prezentarea şi punerea în dezbatere publică a unui nou proiect de lege în 2025,</w:t>
      </w:r>
    </w:p>
    <w:p w14:paraId="0DFF64F5" w14:textId="5BE88E7D" w:rsidR="00D315C4" w:rsidRPr="00CC5AC6" w:rsidRDefault="00E57871" w:rsidP="0009691E">
      <w:pPr>
        <w:shd w:val="clear" w:color="auto" w:fill="FFFFFF" w:themeFill="background1"/>
        <w:ind w:left="35" w:right="14" w:firstLine="553"/>
        <w:jc w:val="both"/>
      </w:pPr>
      <w:r w:rsidRPr="00E57871">
        <w:rPr>
          <w:b/>
          <w:bCs/>
        </w:rPr>
        <w:t xml:space="preserve">- </w:t>
      </w:r>
      <w:r w:rsidR="00D315C4" w:rsidRPr="00E57871">
        <w:rPr>
          <w:b/>
          <w:bCs/>
        </w:rPr>
        <w:t>exigenţa minimală privind consolidarea şi previzibilitatea statutului judecătorilor</w:t>
      </w:r>
      <w:r w:rsidR="00D315C4" w:rsidRPr="00CC5AC6">
        <w:t>, strict necesară păstrării stabilităţii sistemului judiciar, votată în adunările generale ale tuturor instanţelor de judecată, anterior intrării în vigoare a Legii nr. 282/2023, instanţele adoptând unanim Hotărârea nr. 5/31.10.2022 a Înaltei Curţi de Casaţie din Justiţie, prin care s-a cerut celorlalte puteri ale statului „să respecte statutul constituţional al judecătorilor, ale cărui repere constituţionale se regăsesc în prevederile art. 124 alin. (3) şi art. 125 din Constituţia României, şi să îşi asume principiile stabilităţii şi previzibilităţii acestui statut”, solicitându-se, totodată, executivului şi legislativului „să respecte principiul cooperării loiale între puterile statului, astfel încât orice demers legislativ privind modificarea condiţiilor de acordare a pensiilor de serviciu ale judecătorilor să fie făcut cu consultarea reală şi efectivă a sistemului judiciar, evitând afectarea statutului judecătorilor în funcţie prin măsuri intempestive şi populiste care ar afecta grav echilibrul sistemului judiciar şi garanţiile de independenţă ale acestuia”,</w:t>
      </w:r>
    </w:p>
    <w:p w14:paraId="557510D0" w14:textId="7FA1EBE6" w:rsidR="00D315C4" w:rsidRPr="00CC5AC6" w:rsidRDefault="00817C4C" w:rsidP="0009691E">
      <w:pPr>
        <w:shd w:val="clear" w:color="auto" w:fill="FFFFFF" w:themeFill="background1"/>
        <w:ind w:left="35" w:right="14" w:firstLine="553"/>
        <w:jc w:val="both"/>
      </w:pPr>
      <w:r w:rsidRPr="00817C4C">
        <w:rPr>
          <w:b/>
          <w:bCs/>
        </w:rPr>
        <w:t xml:space="preserve">- </w:t>
      </w:r>
      <w:r w:rsidR="00D315C4" w:rsidRPr="00817C4C">
        <w:rPr>
          <w:b/>
          <w:bCs/>
        </w:rPr>
        <w:t>ultima modificare adusă Legii nr. 303/2022 privind statutul judecătorilor şi procurorilor</w:t>
      </w:r>
      <w:r w:rsidR="00D315C4" w:rsidRPr="00CC5AC6">
        <w:t xml:space="preserve">, cu privire la condiţiile de pensionare, care a avut loc </w:t>
      </w:r>
      <w:r w:rsidR="00D315C4" w:rsidRPr="00817C4C">
        <w:rPr>
          <w:b/>
          <w:bCs/>
        </w:rPr>
        <w:t>la finalul anului 2023</w:t>
      </w:r>
      <w:r w:rsidR="00D315C4" w:rsidRPr="00CC5AC6">
        <w:t>, prin Legea nr. 282/2023 (publicată în Monitorul Oficial nr. 950/20.10.2023), după ce Curtea Constituţională, prin Decizia nr. 467/2.08.2023, a declarat neconstituţională soluţia legislativă propusă într-o manieră similară celei din prezent, actualul proiect încălcând jurisprudenţa obligatorie a Curţii Constituţionale, cu atât mai mult cu cât Comisia Europeană nu a impus creşterea vârstei de pensionare în scopul îndeplinirii jalonului 215 PNNR, ci, dimpotrivă, a subliniat necesitatea respectării deciziilor Curţii Constituţionale cu privire la pensiile de serviciu ale judecătorilor şi procurorilor, forma de reglementare a acestora, cuprinsă în Legea nr. 282/2023, fiind agreată de experţii Comisiei Europene,</w:t>
      </w:r>
    </w:p>
    <w:p w14:paraId="0712D900" w14:textId="5105B971" w:rsidR="00D315C4" w:rsidRPr="00CC5AC6" w:rsidRDefault="00817C4C" w:rsidP="0009691E">
      <w:pPr>
        <w:shd w:val="clear" w:color="auto" w:fill="FFFFFF" w:themeFill="background1"/>
        <w:ind w:left="35" w:right="14" w:firstLine="553"/>
        <w:jc w:val="both"/>
      </w:pPr>
      <w:r>
        <w:t xml:space="preserve">- </w:t>
      </w:r>
      <w:r w:rsidR="00D315C4" w:rsidRPr="00817C4C">
        <w:rPr>
          <w:b/>
          <w:bCs/>
        </w:rPr>
        <w:t>încălcarea flagrantă</w:t>
      </w:r>
      <w:r w:rsidR="00D315C4" w:rsidRPr="00CC5AC6">
        <w:t xml:space="preserve">, prin proiectul de lege, </w:t>
      </w:r>
      <w:r w:rsidR="00D315C4" w:rsidRPr="00817C4C">
        <w:rPr>
          <w:b/>
          <w:bCs/>
        </w:rPr>
        <w:t>a jurisprudenţei</w:t>
      </w:r>
      <w:r w:rsidR="00D315C4" w:rsidRPr="00CC5AC6">
        <w:t xml:space="preserve">: </w:t>
      </w:r>
    </w:p>
    <w:p w14:paraId="791B9BE1" w14:textId="40A7CC26" w:rsidR="00D315C4" w:rsidRPr="00CC5AC6" w:rsidRDefault="00D315C4" w:rsidP="0009691E">
      <w:pPr>
        <w:shd w:val="clear" w:color="auto" w:fill="FFFFFF" w:themeFill="background1"/>
        <w:ind w:left="35" w:right="14" w:firstLine="553"/>
        <w:jc w:val="both"/>
      </w:pPr>
      <w:r w:rsidRPr="00817C4C">
        <w:rPr>
          <w:b/>
          <w:bCs/>
        </w:rPr>
        <w:t>i) Curţii Constituţionale</w:t>
      </w:r>
      <w:r w:rsidRPr="00CC5AC6">
        <w:t xml:space="preserve">, e.g., Deciziile nr. 20/2000, 873/2010, 433/2013, 501/2015, 45/2018, 153/2020, 900/2020: </w:t>
      </w:r>
      <w:r w:rsidR="00737790">
        <w:t>p</w:t>
      </w:r>
      <w:r w:rsidRPr="00CC5AC6">
        <w:t xml:space="preserve">ensia de serviciu pentru magistraţi nu reprezintă un privilegiu, ci este justificată în mod obiectiv, ea constituind o compensaţie parţială a inconvenientelor ce rezultă din rigoarea statutului special căruia trebuie să i se supună magistraţii; principiul independenţei justiţiei apără pensia de serviciu a magistraţilor, ca parte integrantă a stabilităţii financiare a acestora, în aceeaşi măsură cu care apără celelalte garanţii ale acestui principiu. Atât în jurisprudenţa Curţii Constituţionale a României, cât şi în jurisprudenţa altor Curţi Constituţionale s-a statuat că stabilitatea financiară a magistraţilor reprezintă una dintre garanţiile independenţei justiţiei; </w:t>
      </w:r>
      <w:r w:rsidR="00B85B04">
        <w:t>l</w:t>
      </w:r>
      <w:r w:rsidRPr="00CC5AC6">
        <w:t xml:space="preserve">a acordarea beneficiului pensiei de serviciu, legiuitorul a avut în vedere importanta pentru societate a activităţii desfăşurate de această categorie socioprofesională, activitate caracterizată printr-un înalt grad de complexitate şi răspundere, precum şi de incompatibilităţi şi interdicţii specifice; </w:t>
      </w:r>
      <w:r w:rsidR="00B85B04">
        <w:t>s</w:t>
      </w:r>
      <w:r w:rsidRPr="00CC5AC6">
        <w:t xml:space="preserve">pre deosebire de alte sisteme constituţionale (spre exemplu, Germania sau Suedia; a se vedea Avizul nr. 806/2015 al Comisiei de la Veneţia), care sunt mai permisive în ceea ce priveşte compatibilitatea funcţiei de judecător cu cele de demnitate publică, în sistemul nostru constituţional normele sunt foarte stricte cu privire la incompatibilităţile care însoţesc funcţia de judecător raţiunea acestora fiind aceea de a evita confuziunea între această funcţie şi orice alte funcţii publice sau private, indiferent de natura lor (politică sau economică); </w:t>
      </w:r>
      <w:r w:rsidR="00B85B04">
        <w:t>n</w:t>
      </w:r>
      <w:r w:rsidRPr="00CC5AC6">
        <w:t xml:space="preserve">ivelul adecvat al remunerării şi al cuantumului pensiilor magistraţilor reprezintă o compensaţie parţială a lipsei unor drepturi </w:t>
      </w:r>
      <w:r w:rsidRPr="00CC5AC6">
        <w:lastRenderedPageBreak/>
        <w:t>fundamentale, precum şi a incompatibilităţilor stabilite la nivel constituţional pe parcursul întregii cariere profesionale. Acestor incompatibilităţi li se adaugă interdicţiile prevăzute de Legea privind statutul judecătorilor şi procurorilor. Pe de altă parte, stabilirea nivelului pensiei ţine seama de responsabilităţile şi riscurile profesiei de magistrat, care privesc întreaga durată a carierei acestuia; orice reglementare referitoare la salarizarea şi stabilirea pensiilor magistraţilor trebuie să respecte cele două principii, al independenţei justiţiei şi al statului de drept, cadrul constituţional actual fundamentând securitatea financiară a magistraţilor;</w:t>
      </w:r>
    </w:p>
    <w:p w14:paraId="3338007F" w14:textId="1EB9C411" w:rsidR="00D315C4" w:rsidRPr="00CC5AC6" w:rsidRDefault="00D315C4" w:rsidP="0009691E">
      <w:pPr>
        <w:shd w:val="clear" w:color="auto" w:fill="FFFFFF" w:themeFill="background1"/>
        <w:ind w:left="35" w:right="14" w:firstLine="553"/>
        <w:jc w:val="both"/>
      </w:pPr>
      <w:r w:rsidRPr="00B85B04">
        <w:rPr>
          <w:b/>
          <w:bCs/>
        </w:rPr>
        <w:t>ii) Curţii de Justiţie a Uniunii Europene</w:t>
      </w:r>
      <w:r w:rsidRPr="00CC5AC6">
        <w:t xml:space="preserve">, e.g. cauzele C-64/16, C-262/88, C-83/19, C-224/01, C-762/23: </w:t>
      </w:r>
      <w:r w:rsidR="00737790">
        <w:t>p</w:t>
      </w:r>
      <w:r w:rsidRPr="00CC5AC6">
        <w:t xml:space="preserve">erceperea de către judecători a unei remuneraţii proporţionale cu importanţa funcţiilor pe care le exercită constituie o garanţie esenţială pentru independenţa judiciară care presupune ca statutul judecătorilor, inclusiv sistemul de pensii, să îi protejeze de orice presiuni externe care le pot influenţa deciziile; </w:t>
      </w:r>
      <w:r w:rsidR="00737790">
        <w:t>p</w:t>
      </w:r>
      <w:r w:rsidRPr="00CC5AC6">
        <w:t xml:space="preserve">ensiile ocupaţionale sunt un element al remuneraţiei, dând naştere la drepturi care trebuie protejate, inclusiv din punctul de vedere al drepturilor de proprietate; </w:t>
      </w:r>
      <w:r w:rsidR="00737790">
        <w:t>o</w:t>
      </w:r>
      <w:r w:rsidRPr="00CC5AC6">
        <w:t xml:space="preserve">rice modificare a regimului de pensionare al magistraţilor trebuie să respecte exigenţele statului de drept şi să nu afecteze independenţa; </w:t>
      </w:r>
      <w:r w:rsidR="00737790">
        <w:t>p</w:t>
      </w:r>
      <w:r w:rsidRPr="00CC5AC6">
        <w:t xml:space="preserve">ensia de serviciu constituie un bonus de loialitate sub formă de recompensă, dar, mai presus de toate, are efectul de a compensa privările, restricţiile şi incompatibilităţile suferite pe parcursul exercitării profesiei, iar nerespectarea acestei jurisprudenţe constituie o încălcare gravă a dreptului Uniunii; </w:t>
      </w:r>
      <w:r w:rsidR="00737790">
        <w:t>p</w:t>
      </w:r>
      <w:r w:rsidRPr="00CC5AC6">
        <w:t>otrivit punctului 54 din Recomandarea Comitetului de Miniştri din anul 2010, „trebuie să existe garanţii pentru [...] plata unei pensii pentru limită de vârstă care ar trebui să fie [raportată] în mod rezonabil la nivelul de remunerare a judecătorilor în exerciţiu</w:t>
      </w:r>
      <w:r w:rsidR="008D4D1A">
        <w:t>”</w:t>
      </w:r>
      <w:r w:rsidRPr="00CC5AC6">
        <w:t>, iar din articolul 6.4 din Carta europeană privind statutul judecătorilor reiese că acest statut trebuie să garanteze judecătorului „care a împlinit vârsta legală pentru încetarea funcţiei, după ce a exercitat o ca profesie o perioadă determinată, plata unei pensii al cărei nivel trebuie să fie cât mai apropiat posibil de acela al ultimei remuneraţii primite pentru activitatea jurisdicţională</w:t>
      </w:r>
      <w:r w:rsidR="008D4D1A">
        <w:t>”</w:t>
      </w:r>
      <w:r w:rsidRPr="00CC5AC6">
        <w:t>;</w:t>
      </w:r>
    </w:p>
    <w:p w14:paraId="56416F7B" w14:textId="77777777" w:rsidR="00C54812" w:rsidRDefault="00D315C4" w:rsidP="0009691E">
      <w:pPr>
        <w:shd w:val="clear" w:color="auto" w:fill="FFFFFF" w:themeFill="background1"/>
        <w:ind w:left="35" w:right="14" w:firstLine="553"/>
        <w:jc w:val="both"/>
      </w:pPr>
      <w:r w:rsidRPr="008D4D1A">
        <w:rPr>
          <w:b/>
          <w:bCs/>
        </w:rPr>
        <w:t>iii) Curţii Europene a Drepturilor Omului</w:t>
      </w:r>
      <w:r w:rsidRPr="00CC5AC6">
        <w:t xml:space="preserve">, e.g., cauzele Zubko şi alţii v. Ucraina, Khoniakina v. Georgia, Kubat şi alţii v. Cehia: </w:t>
      </w:r>
      <w:r w:rsidR="00C54812">
        <w:t>n</w:t>
      </w:r>
      <w:r w:rsidRPr="00CC5AC6">
        <w:t xml:space="preserve">eacordarea de către stat a beneficiilor judecătorilor în timp util este incompatibilă cu necesitatea de a asigura capacitatea acestora de a-şi exercita funcţiile judiciare în mod independent şi imparţial, pentru a fi protejaţi de presiuni externe menite să le influenţeze deciziile şi comportamentul. Recomandarea Comitetului de Miniştri privind independenţa, eficienţa şi rolul judecătorilor şi Carta europeană privind statutul judecătorilor subliniază în mod clar importanţa acestor factori; </w:t>
      </w:r>
      <w:r w:rsidR="00C54812">
        <w:t>d</w:t>
      </w:r>
      <w:r w:rsidRPr="00CC5AC6">
        <w:t xml:space="preserve">reptul de a primi o pensie pe viaţă într-un cuantum egal cu ultimul salariu şi ajustabil în funcţie de modificările salariului judecătorilor în funcţie a creat un interes proprietar care intră în sfera de aplicare a articolului 1 din Protocolul nr. 1 la CEDO. Încetarea ulterioară a ajustării, în urma căreia judecătorul nu a mai putut solicita o pensie mai mare, în ciuda creşterii semnificative a salariului judecătorilor curţii supreme în funcţie, constituie o modificare legislativă care a redus în mod clar sfera iniţială a dreptului la pensie, trebuind considerată o ingerinţă în dreptul de a se bucura în mod paşnic de bunurile sale; </w:t>
      </w:r>
      <w:r w:rsidR="00C54812">
        <w:t>n</w:t>
      </w:r>
      <w:r w:rsidRPr="00CC5AC6">
        <w:t>ivelul remuneraţiei judecătorilor trebuia stabilit astfel încât să îi protejeze de presiunile menite să le influenţeze deciziile şi, în general, comportamentul, iar neasigurarea plăţii beneficiilor judiciare la care aveau dreptul judecătorii în temeiul legii constituia o circumstanţă susceptibilă să împiedice exercitarea funcţiilor judiciare cu dedicarea necesară,</w:t>
      </w:r>
    </w:p>
    <w:p w14:paraId="411C3A5F" w14:textId="336A10D5" w:rsidR="00D315C4" w:rsidRPr="00CC5AC6" w:rsidRDefault="00C54812" w:rsidP="0009691E">
      <w:pPr>
        <w:shd w:val="clear" w:color="auto" w:fill="FFFFFF" w:themeFill="background1"/>
        <w:ind w:left="35" w:right="14" w:firstLine="553"/>
        <w:jc w:val="both"/>
      </w:pPr>
      <w:r w:rsidRPr="000E578C">
        <w:rPr>
          <w:b/>
          <w:bCs/>
        </w:rPr>
        <w:t xml:space="preserve">- </w:t>
      </w:r>
      <w:r w:rsidR="00D315C4" w:rsidRPr="000E578C">
        <w:rPr>
          <w:b/>
          <w:bCs/>
        </w:rPr>
        <w:t>impunerea proiectului de lege de către Guvern, în lipsa oricărei consultări</w:t>
      </w:r>
      <w:r w:rsidR="00D315C4" w:rsidRPr="00CC5AC6">
        <w:t xml:space="preserve">, în pofida sublinierii din Avizul nr. 940/2018 al Comisiei de la Veneţia, potrivit căruia este esenţial ca orice reformă să fie rezultatul unui proces legislativ transparent, bazat pe consultări ample cu profesioniştii din sistemul judiciar şi cu societatea civilă, pentru a asigura stabilitatea şi predictibilitatea normelor legale, precum şi în pofida Avizului 18(2015) al Consiliului Consultativ al Judecătorilor Europeni, prin care s-a reafirmat că puterea judecătorească este una dintre cele trei puteri ale statului într-o democraţie; acestea sunt complementare şi nicio putere nu este „supremă” şi nu le domină pe celelalte; celelalte puteri ale statului trebuie să recunoască funcţia constituţională legitimă îndeplinită de puterea judecătorească şi să se asigure că aceasta dispune de resurse suficiente pentru a îndeplini acele funcţii; analizele şi </w:t>
      </w:r>
      <w:r w:rsidR="00D315C4" w:rsidRPr="00CC5AC6">
        <w:lastRenderedPageBreak/>
        <w:t>criticile aduse de o putere a statului unei alte puteri a statului trebuie făcute într-un climat de respect reciproc; deciziile puterilor legislativă sau executivă care elimină protecţiile de bază ale independenţei judiciare sunt inacceptabile, chiar dacă sunt disimulate,</w:t>
      </w:r>
    </w:p>
    <w:p w14:paraId="33C0E6EC" w14:textId="7DFF0C97" w:rsidR="00D315C4" w:rsidRPr="00CC5AC6" w:rsidRDefault="000E578C" w:rsidP="0009691E">
      <w:pPr>
        <w:shd w:val="clear" w:color="auto" w:fill="FFFFFF" w:themeFill="background1"/>
        <w:ind w:left="35" w:right="14" w:firstLine="553"/>
        <w:jc w:val="both"/>
      </w:pPr>
      <w:r w:rsidRPr="000E578C">
        <w:rPr>
          <w:b/>
          <w:bCs/>
        </w:rPr>
        <w:t xml:space="preserve">- </w:t>
      </w:r>
      <w:r w:rsidR="00D315C4" w:rsidRPr="000E578C">
        <w:rPr>
          <w:b/>
          <w:bCs/>
        </w:rPr>
        <w:t>impunerea proiectului de lege pe fondul unui climat public de ură împotriva magistraţilor, format sau alimentat de declaraţii politicianiste iresponsabile, într-o campanie publică de demonizare a magistraţilor</w:t>
      </w:r>
      <w:r w:rsidR="00D315C4" w:rsidRPr="00CC5AC6">
        <w:t xml:space="preserve"> - demascată şi condamnată de preşedinţii curţilor de apel, tribunalelor şi judecătoriilor din România care au accentuat faptul că o astfel de modalitate nu poate sta la baza niciunei reforme ce vizează în mod direct independenţa şi funcţionarea justiţiei, asemenea atacuri grave neafectând doar statul de drept, ci şi drepturile şi libertăţile cetăţenilor care pot fi garantate efectiv doar de o justiţie independentă, atribut ce nu constituie un privilegiu al judecătorului, ci o garanţie a dreptului la un proces echitabil,</w:t>
      </w:r>
    </w:p>
    <w:p w14:paraId="4897FB25" w14:textId="1C28E745" w:rsidR="00D315C4" w:rsidRPr="00CC5AC6" w:rsidRDefault="000E578C" w:rsidP="0009691E">
      <w:pPr>
        <w:shd w:val="clear" w:color="auto" w:fill="FFFFFF" w:themeFill="background1"/>
        <w:ind w:left="35" w:right="14" w:firstLine="553"/>
        <w:jc w:val="both"/>
      </w:pPr>
      <w:r w:rsidRPr="000E578C">
        <w:rPr>
          <w:b/>
          <w:bCs/>
        </w:rPr>
        <w:t xml:space="preserve">- </w:t>
      </w:r>
      <w:r w:rsidR="00D315C4" w:rsidRPr="000E578C">
        <w:rPr>
          <w:b/>
          <w:bCs/>
        </w:rPr>
        <w:t>prezentarea sistemului judiciar ca fiind vinovat pentru eşecuri ale celorlalte puteri în domenii în care justiţia, potrivit Constituţiei, nu are nici o atribuţie</w:t>
      </w:r>
      <w:r w:rsidR="00D315C4" w:rsidRPr="00CC5AC6">
        <w:t>, creându-se riscul major ca toate aceste acţiuni ale executivului şi legislativului să inducă cetăţenilor ideea că sistemul judiciar este doar un instrument la discreţia factorului politic ce se comportă autocratic, putând, în pofida oricăror valori ale statului de drept, să impună modificări în forţă, fără niciun fel de consultări, cu desconsiderarea independenţei justiţiei, marcând începutul sfârşitului statului de drept în România,</w:t>
      </w:r>
    </w:p>
    <w:p w14:paraId="255E94B5" w14:textId="3495ABA6" w:rsidR="00D315C4" w:rsidRPr="00CC5AC6" w:rsidRDefault="00544B7B" w:rsidP="0009691E">
      <w:pPr>
        <w:shd w:val="clear" w:color="auto" w:fill="FFFFFF" w:themeFill="background1"/>
        <w:ind w:left="35" w:right="14" w:firstLine="553"/>
        <w:jc w:val="both"/>
      </w:pPr>
      <w:r>
        <w:t xml:space="preserve">- </w:t>
      </w:r>
      <w:r w:rsidR="00D315C4" w:rsidRPr="00CC5AC6">
        <w:t xml:space="preserve">„omisiunea” de a se menţiona, în </w:t>
      </w:r>
      <w:r w:rsidR="00D315C4" w:rsidRPr="00544B7B">
        <w:rPr>
          <w:b/>
          <w:bCs/>
        </w:rPr>
        <w:t>cadrul campaniei agresive îndreptate împotriva magistraţilor</w:t>
      </w:r>
      <w:r w:rsidR="00D315C4" w:rsidRPr="00CC5AC6">
        <w:t>, că în România există 212.000 de persoane (bugetari) cu pensii de serviciu şi speciale, din care doar 5.600 sunt magistraţi, puterea executivă având, deci, în vedere doar procentul de 2,64% din aceste pensii, cât reprezintă cele ale magistraţilor, nepreocupându-se de procentul masiv de 97,36%, în dispreţul standardelor europene, după cum puterea executivă nu este interesată nici de faptul că pensiile magistraţilor reprezintă doar 0,1% din numărul pensiilor care se plătesc lunar, fiind evident că vehiculata scădere a deficitului economic nu poate fi obţinută din 2,64% sau din 0,1%,</w:t>
      </w:r>
    </w:p>
    <w:p w14:paraId="7CB55271" w14:textId="3C5C8ED7" w:rsidR="00D315C4" w:rsidRPr="00CC5AC6" w:rsidRDefault="00544B7B" w:rsidP="0009691E">
      <w:pPr>
        <w:shd w:val="clear" w:color="auto" w:fill="FFFFFF" w:themeFill="background1"/>
        <w:ind w:left="35" w:right="14" w:firstLine="553"/>
        <w:jc w:val="both"/>
      </w:pPr>
      <w:r w:rsidRPr="00544B7B">
        <w:rPr>
          <w:b/>
          <w:bCs/>
        </w:rPr>
        <w:t xml:space="preserve">- </w:t>
      </w:r>
      <w:r w:rsidR="00D315C4" w:rsidRPr="00544B7B">
        <w:rPr>
          <w:b/>
          <w:bCs/>
        </w:rPr>
        <w:t>evidenţierea clară, de către Înalta Curte de Casaţie şi Justiţie</w:t>
      </w:r>
      <w:r w:rsidR="00D315C4" w:rsidRPr="00CC5AC6">
        <w:t>, a faptului că, doar printr-o gravă deformare a realităţii, statutul magistraţilor poate fi prezentat ca un „privilegiu</w:t>
      </w:r>
      <w:r w:rsidR="00374F8B">
        <w:t>”</w:t>
      </w:r>
      <w:r w:rsidR="00D315C4" w:rsidRPr="00CC5AC6">
        <w:t>, iar «a vorbi de la nivelul puterii executive despre tăierea aşa-ziselor privilegii înseamnă, în fapt, a slăbi, în mod deliberat, statutul judecătorilor, al magistraţilor. In realitate, nu se taie un „beneficiu</w:t>
      </w:r>
      <w:r w:rsidR="00374F8B">
        <w:t>”</w:t>
      </w:r>
      <w:r w:rsidR="00D315C4" w:rsidRPr="00CC5AC6">
        <w:t>, se taie din independenţa justiţiei, din echilibrul democraţiei»,</w:t>
      </w:r>
    </w:p>
    <w:p w14:paraId="50BE12EB" w14:textId="4FBB48C8" w:rsidR="007D621C" w:rsidRPr="00CC5AC6" w:rsidRDefault="00374F8B" w:rsidP="0009691E">
      <w:pPr>
        <w:shd w:val="clear" w:color="auto" w:fill="FFFFFF" w:themeFill="background1"/>
        <w:ind w:left="35" w:right="14" w:firstLine="553"/>
        <w:jc w:val="both"/>
      </w:pPr>
      <w:r w:rsidRPr="00374F8B">
        <w:rPr>
          <w:b/>
          <w:bCs/>
        </w:rPr>
        <w:t xml:space="preserve">- </w:t>
      </w:r>
      <w:r w:rsidR="00D315C4" w:rsidRPr="00374F8B">
        <w:rPr>
          <w:b/>
          <w:bCs/>
        </w:rPr>
        <w:t>avertismentul Reţelei Europene a Consiliilor Judiciare</w:t>
      </w:r>
      <w:r w:rsidR="00D315C4" w:rsidRPr="00CC5AC6">
        <w:t xml:space="preserve"> care a semnalat că acum există în România o combinaţie inacceptabilă de atacuri politice şi mediatice la adresa magistraţilor, modificări legislative ale statutului magistraţilor fără consultări, ceea ce generează o instabilitate cronică a acestui statut şi, implicit, un pericol real pentru statul de drept,</w:t>
      </w:r>
    </w:p>
    <w:p w14:paraId="2A6DD9BD" w14:textId="77777777" w:rsidR="007D621C" w:rsidRPr="00CC5AC6" w:rsidRDefault="007D621C" w:rsidP="0009691E">
      <w:pPr>
        <w:shd w:val="clear" w:color="auto" w:fill="FFFFFF" w:themeFill="background1"/>
        <w:ind w:left="35" w:right="14" w:firstLine="553"/>
        <w:jc w:val="both"/>
        <w:rPr>
          <w:color w:val="0070C0"/>
        </w:rPr>
      </w:pPr>
    </w:p>
    <w:p w14:paraId="467500F1" w14:textId="30D03B09" w:rsidR="00563C30" w:rsidRPr="00CC5AC6" w:rsidRDefault="00E84A2D" w:rsidP="0009691E">
      <w:pPr>
        <w:shd w:val="clear" w:color="auto" w:fill="FFFFFF" w:themeFill="background1"/>
        <w:ind w:left="35" w:right="14" w:firstLine="553"/>
        <w:jc w:val="both"/>
        <w:rPr>
          <w:b/>
          <w:bCs/>
        </w:rPr>
      </w:pPr>
      <w:r>
        <w:t xml:space="preserve">  </w:t>
      </w:r>
      <w:r w:rsidR="00D81C42" w:rsidRPr="00CC5AC6">
        <w:t xml:space="preserve">În consecință, </w:t>
      </w:r>
      <w:r w:rsidR="00AC01A5" w:rsidRPr="00CC5AC6">
        <w:t>raportat la principiile enunţate şi la aspectele invocate în convocatorul emis de</w:t>
      </w:r>
      <w:r w:rsidR="004C2C75" w:rsidRPr="00CC5AC6">
        <w:t xml:space="preserve"> Consiliul Superior al Magistraturii</w:t>
      </w:r>
      <w:r w:rsidR="00EA197F" w:rsidRPr="00CC5AC6">
        <w:t xml:space="preserve">, </w:t>
      </w:r>
      <w:r w:rsidR="00D81C42" w:rsidRPr="00CC5AC6">
        <w:t>Adunarea generală a judecătorilor</w:t>
      </w:r>
      <w:r w:rsidR="003F1B6E" w:rsidRPr="00CC5AC6">
        <w:t xml:space="preserve"> Curții de Apel Oradea</w:t>
      </w:r>
      <w:r w:rsidR="00D81C42" w:rsidRPr="00CC5AC6">
        <w:t xml:space="preserve">, în temeiul dispozițiilor art. </w:t>
      </w:r>
      <w:r w:rsidR="003F1B6E" w:rsidRPr="00CC5AC6">
        <w:t>1</w:t>
      </w:r>
      <w:r w:rsidR="00F956FA" w:rsidRPr="00CC5AC6">
        <w:t>4</w:t>
      </w:r>
      <w:r w:rsidR="00D81C42" w:rsidRPr="00CC5AC6">
        <w:t xml:space="preserve"> alin. (</w:t>
      </w:r>
      <w:r w:rsidR="00F956FA" w:rsidRPr="00CC5AC6">
        <w:t>4</w:t>
      </w:r>
      <w:r w:rsidR="00D81C42" w:rsidRPr="00CC5AC6">
        <w:t xml:space="preserve">) din Regulamentul </w:t>
      </w:r>
      <w:r w:rsidR="003355E7" w:rsidRPr="00CC5AC6">
        <w:t>de ordine interioară al instanțelor judecătorești</w:t>
      </w:r>
      <w:r w:rsidR="00241724" w:rsidRPr="00CC5AC6">
        <w:t xml:space="preserve">, </w:t>
      </w:r>
      <w:r w:rsidR="00241724" w:rsidRPr="00CC5AC6">
        <w:rPr>
          <w:b/>
          <w:bCs/>
        </w:rPr>
        <w:t xml:space="preserve">în unanimitate, </w:t>
      </w:r>
    </w:p>
    <w:p w14:paraId="44563632" w14:textId="77777777" w:rsidR="004C2C75" w:rsidRPr="00CC5AC6" w:rsidRDefault="004C2C75" w:rsidP="0009691E">
      <w:pPr>
        <w:shd w:val="clear" w:color="auto" w:fill="FFFFFF" w:themeFill="background1"/>
        <w:ind w:left="35" w:right="14" w:firstLine="553"/>
        <w:jc w:val="both"/>
        <w:rPr>
          <w:b/>
          <w:bCs/>
        </w:rPr>
      </w:pPr>
    </w:p>
    <w:p w14:paraId="0AD0FCCE" w14:textId="77777777" w:rsidR="00563C30" w:rsidRPr="00CC5AC6" w:rsidRDefault="00563C30" w:rsidP="0009691E">
      <w:pPr>
        <w:tabs>
          <w:tab w:val="left" w:pos="708"/>
          <w:tab w:val="left" w:pos="1416"/>
          <w:tab w:val="left" w:pos="2124"/>
          <w:tab w:val="left" w:pos="2832"/>
          <w:tab w:val="center" w:pos="4535"/>
        </w:tabs>
        <w:jc w:val="center"/>
        <w:rPr>
          <w:b/>
        </w:rPr>
      </w:pPr>
      <w:r w:rsidRPr="00CC5AC6">
        <w:rPr>
          <w:b/>
        </w:rPr>
        <w:t>H O T Ă R Ă Ş T E:</w:t>
      </w:r>
    </w:p>
    <w:p w14:paraId="57AD2963" w14:textId="77777777" w:rsidR="00563C30" w:rsidRPr="00CC5AC6" w:rsidRDefault="00563C30" w:rsidP="0009691E">
      <w:pPr>
        <w:jc w:val="center"/>
        <w:rPr>
          <w:b/>
          <w:bCs/>
        </w:rPr>
      </w:pPr>
    </w:p>
    <w:p w14:paraId="25DF71FA" w14:textId="38CAA72F" w:rsidR="00E94D3D" w:rsidRPr="00CC5AC6" w:rsidRDefault="00473C31" w:rsidP="00473C31">
      <w:pPr>
        <w:autoSpaceDE w:val="0"/>
        <w:autoSpaceDN w:val="0"/>
        <w:adjustRightInd w:val="0"/>
        <w:ind w:firstLine="426"/>
        <w:jc w:val="both"/>
        <w:rPr>
          <w:iCs/>
        </w:rPr>
      </w:pPr>
      <w:r>
        <w:rPr>
          <w:b/>
          <w:bCs/>
        </w:rPr>
        <w:t xml:space="preserve">     </w:t>
      </w:r>
      <w:r w:rsidR="00563C30" w:rsidRPr="00CC5AC6">
        <w:rPr>
          <w:b/>
          <w:bCs/>
        </w:rPr>
        <w:t>Art.</w:t>
      </w:r>
      <w:r w:rsidR="00E1793C" w:rsidRPr="00CC5AC6">
        <w:rPr>
          <w:b/>
          <w:bCs/>
        </w:rPr>
        <w:t xml:space="preserve"> </w:t>
      </w:r>
      <w:r w:rsidR="00563C30" w:rsidRPr="00CC5AC6">
        <w:rPr>
          <w:b/>
          <w:bCs/>
        </w:rPr>
        <w:t xml:space="preserve">1 </w:t>
      </w:r>
      <w:r w:rsidR="00E94D3D" w:rsidRPr="00CC5AC6">
        <w:rPr>
          <w:iCs/>
        </w:rPr>
        <w:t>Solicită ferm retragerea de urgenţă a proiectului de lege privind reforma pensiilor de serviciu ale magistraţilor.</w:t>
      </w:r>
    </w:p>
    <w:p w14:paraId="08244E61" w14:textId="1AC25093" w:rsidR="00E94D3D" w:rsidRPr="00CC5AC6" w:rsidRDefault="00473C31" w:rsidP="0009691E">
      <w:pPr>
        <w:autoSpaceDE w:val="0"/>
        <w:autoSpaceDN w:val="0"/>
        <w:adjustRightInd w:val="0"/>
        <w:ind w:firstLine="426"/>
        <w:jc w:val="both"/>
        <w:rPr>
          <w:iCs/>
        </w:rPr>
      </w:pPr>
      <w:r>
        <w:rPr>
          <w:b/>
          <w:iCs/>
        </w:rPr>
        <w:t xml:space="preserve">    </w:t>
      </w:r>
      <w:r w:rsidR="00E94D3D" w:rsidRPr="00CC5AC6">
        <w:rPr>
          <w:b/>
          <w:iCs/>
        </w:rPr>
        <w:t>Art. 2.</w:t>
      </w:r>
      <w:r w:rsidR="00E94D3D" w:rsidRPr="00CC5AC6">
        <w:rPr>
          <w:iCs/>
        </w:rPr>
        <w:t xml:space="preserve"> 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73DF8872" w14:textId="2BDEFAD3" w:rsidR="00E94D3D" w:rsidRPr="00CC5AC6" w:rsidRDefault="00473C31" w:rsidP="0009691E">
      <w:pPr>
        <w:autoSpaceDE w:val="0"/>
        <w:autoSpaceDN w:val="0"/>
        <w:adjustRightInd w:val="0"/>
        <w:ind w:firstLine="426"/>
        <w:jc w:val="both"/>
        <w:rPr>
          <w:iCs/>
        </w:rPr>
      </w:pPr>
      <w:r>
        <w:rPr>
          <w:b/>
          <w:iCs/>
        </w:rPr>
        <w:t xml:space="preserve">    </w:t>
      </w:r>
      <w:r w:rsidR="00E94D3D" w:rsidRPr="00CC5AC6">
        <w:rPr>
          <w:b/>
          <w:iCs/>
        </w:rPr>
        <w:t>Art. 3.</w:t>
      </w:r>
      <w:r w:rsidR="00E94D3D" w:rsidRPr="00CC5AC6">
        <w:rPr>
          <w:iCs/>
        </w:rPr>
        <w:t xml:space="preserve"> Începând cu data de 27.08.2025 şi până la retragerea proiectului de lege, suspendă soluţionarea cauzelor, cu excepţia celor în care se exercită funcţia de dispoziţie asupra drepturilor şi libertăţilor fundamentale ale persoanei, în faza de urmărire penală (art. 3 alin. 1 lit. b Cod proc. pen.), a cauzelor având ca obiect dispoziţia asupra măsurilor preventive </w:t>
      </w:r>
      <w:r w:rsidR="00E94D3D" w:rsidRPr="00CC5AC6">
        <w:rPr>
          <w:iCs/>
        </w:rPr>
        <w:lastRenderedPageBreak/>
        <w:t xml:space="preserve">privative de libertate (în faza de cameră preliminară şi în faza de judecată), luare măsură declarare indezirabil, custodia publică (prelungire şi plângere), suspendarea executării actelor administrative. </w:t>
      </w:r>
    </w:p>
    <w:p w14:paraId="618279DE" w14:textId="7D4DF509" w:rsidR="00E94D3D" w:rsidRPr="00CC5AC6" w:rsidRDefault="00473C31" w:rsidP="0009691E">
      <w:pPr>
        <w:autoSpaceDE w:val="0"/>
        <w:autoSpaceDN w:val="0"/>
        <w:adjustRightInd w:val="0"/>
        <w:ind w:firstLine="426"/>
        <w:jc w:val="both"/>
      </w:pPr>
      <w:r>
        <w:rPr>
          <w:b/>
          <w:iCs/>
        </w:rPr>
        <w:t xml:space="preserve">   </w:t>
      </w:r>
      <w:r w:rsidR="00E94D3D" w:rsidRPr="00CC5AC6">
        <w:rPr>
          <w:b/>
          <w:iCs/>
        </w:rPr>
        <w:t>Art. 4.</w:t>
      </w:r>
      <w:r w:rsidR="00E94D3D" w:rsidRPr="00CC5AC6">
        <w:rPr>
          <w:iCs/>
        </w:rPr>
        <w:t xml:space="preserve">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judecării cauzelor, în afara cazurilor menţionate în art. 3). </w:t>
      </w:r>
    </w:p>
    <w:p w14:paraId="2C9FAAAB" w14:textId="625D27DE" w:rsidR="00FF45B9" w:rsidRPr="00473C31" w:rsidRDefault="00473C31" w:rsidP="0009691E">
      <w:pPr>
        <w:ind w:firstLine="426"/>
        <w:jc w:val="both"/>
        <w:rPr>
          <w:sz w:val="32"/>
          <w:szCs w:val="32"/>
        </w:rPr>
      </w:pPr>
      <w:r>
        <w:rPr>
          <w:b/>
          <w:bCs/>
        </w:rPr>
        <w:t xml:space="preserve">   </w:t>
      </w:r>
      <w:r w:rsidR="00563C30" w:rsidRPr="00CC5AC6">
        <w:rPr>
          <w:b/>
          <w:bCs/>
        </w:rPr>
        <w:t>Art.</w:t>
      </w:r>
      <w:r w:rsidR="00E1793C" w:rsidRPr="00CC5AC6">
        <w:rPr>
          <w:b/>
          <w:bCs/>
        </w:rPr>
        <w:t xml:space="preserve"> </w:t>
      </w:r>
      <w:r w:rsidR="00E94D3D" w:rsidRPr="00CC5AC6">
        <w:rPr>
          <w:b/>
          <w:bCs/>
        </w:rPr>
        <w:t>5</w:t>
      </w:r>
      <w:r w:rsidR="00563C30" w:rsidRPr="00CC5AC6">
        <w:rPr>
          <w:b/>
          <w:bCs/>
        </w:rPr>
        <w:t xml:space="preserve"> </w:t>
      </w:r>
      <w:r w:rsidR="00563C30" w:rsidRPr="00CC5AC6">
        <w:t xml:space="preserve">Prezenta hotărâre se comunică </w:t>
      </w:r>
      <w:bookmarkStart w:id="0" w:name="_Hlk136381074"/>
      <w:r w:rsidR="00563C30" w:rsidRPr="00CC5AC6">
        <w:t>Consiliului Superior al Magistraturii</w:t>
      </w:r>
      <w:r w:rsidR="001B2D36" w:rsidRPr="00CC5AC6">
        <w:t xml:space="preserve"> </w:t>
      </w:r>
      <w:r w:rsidR="005E7F56" w:rsidRPr="00CC5AC6">
        <w:t xml:space="preserve">și se </w:t>
      </w:r>
      <w:bookmarkEnd w:id="0"/>
      <w:r w:rsidR="005E7F56" w:rsidRPr="00CC5AC6">
        <w:t>va publica</w:t>
      </w:r>
      <w:r w:rsidR="00FA00FB" w:rsidRPr="00CC5AC6">
        <w:t xml:space="preserve"> </w:t>
      </w:r>
      <w:r w:rsidR="001B2D36" w:rsidRPr="00CC5AC6">
        <w:t xml:space="preserve">pe </w:t>
      </w:r>
      <w:r w:rsidR="00FA00FB" w:rsidRPr="00CC5AC6">
        <w:t xml:space="preserve">portalul intranet al Curții de Apel Oradea.  </w:t>
      </w:r>
    </w:p>
    <w:p w14:paraId="097426D9" w14:textId="77777777" w:rsidR="00E00EF2" w:rsidRPr="005C3BC9" w:rsidRDefault="00E00EF2" w:rsidP="0009691E">
      <w:pPr>
        <w:ind w:firstLine="567"/>
        <w:jc w:val="both"/>
        <w:rPr>
          <w:sz w:val="32"/>
          <w:szCs w:val="32"/>
        </w:rPr>
      </w:pPr>
    </w:p>
    <w:p w14:paraId="04632423" w14:textId="549DB6C0" w:rsidR="00C9765A" w:rsidRPr="00CC5AC6" w:rsidRDefault="00180F26" w:rsidP="0009691E">
      <w:pPr>
        <w:tabs>
          <w:tab w:val="center" w:pos="4536"/>
        </w:tabs>
        <w:ind w:firstLine="567"/>
        <w:jc w:val="center"/>
        <w:rPr>
          <w:b/>
        </w:rPr>
      </w:pPr>
      <w:r w:rsidRPr="00CC5AC6">
        <w:rPr>
          <w:b/>
        </w:rPr>
        <w:t>P</w:t>
      </w:r>
      <w:r w:rsidR="00C9765A" w:rsidRPr="00CC5AC6">
        <w:rPr>
          <w:b/>
        </w:rPr>
        <w:t xml:space="preserve">REŞEDINTE </w:t>
      </w:r>
    </w:p>
    <w:p w14:paraId="05431228" w14:textId="67B99330" w:rsidR="00F77163" w:rsidRPr="00CC5AC6" w:rsidRDefault="00C9765A" w:rsidP="0009691E">
      <w:pPr>
        <w:tabs>
          <w:tab w:val="center" w:pos="4536"/>
        </w:tabs>
        <w:jc w:val="center"/>
      </w:pPr>
      <w:r w:rsidRPr="00CC5AC6">
        <w:rPr>
          <w:b/>
          <w:i/>
        </w:rPr>
        <w:t xml:space="preserve">        </w:t>
      </w:r>
      <w:r w:rsidRPr="00CC5AC6">
        <w:rPr>
          <w:b/>
        </w:rPr>
        <w:t>judecător</w:t>
      </w:r>
      <w:r w:rsidRPr="00CC5AC6">
        <w:rPr>
          <w:b/>
          <w:i/>
        </w:rPr>
        <w:t xml:space="preserve"> </w:t>
      </w:r>
      <w:r w:rsidR="00180F26" w:rsidRPr="00CC5AC6">
        <w:rPr>
          <w:b/>
          <w:i/>
        </w:rPr>
        <w:t>Florica Roman</w:t>
      </w:r>
    </w:p>
    <w:sectPr w:rsidR="00F77163" w:rsidRPr="00CC5AC6" w:rsidSect="004C2C75">
      <w:footerReference w:type="defaul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28EE" w14:textId="77777777" w:rsidR="003E2872" w:rsidRDefault="003E2872">
      <w:r>
        <w:separator/>
      </w:r>
    </w:p>
  </w:endnote>
  <w:endnote w:type="continuationSeparator" w:id="0">
    <w:p w14:paraId="6610459C" w14:textId="77777777" w:rsidR="003E2872" w:rsidRDefault="003E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A5E" w14:textId="77777777" w:rsidR="00DF3950" w:rsidRDefault="00DF3950">
    <w:pPr>
      <w:pStyle w:val="Footer"/>
      <w:jc w:val="center"/>
    </w:pPr>
    <w:r>
      <w:fldChar w:fldCharType="begin"/>
    </w:r>
    <w:r>
      <w:instrText>PAGE   \* MERGEFORMAT</w:instrText>
    </w:r>
    <w:r>
      <w:fldChar w:fldCharType="separate"/>
    </w:r>
    <w:r w:rsidR="00E011D2">
      <w:rPr>
        <w:noProof/>
      </w:rPr>
      <w:t>4</w:t>
    </w:r>
    <w:r>
      <w:fldChar w:fldCharType="end"/>
    </w:r>
  </w:p>
  <w:p w14:paraId="078372AA" w14:textId="77777777" w:rsidR="00DF3950" w:rsidRDefault="00DF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E28A" w14:textId="77777777" w:rsidR="003E2872" w:rsidRDefault="003E2872">
      <w:r>
        <w:separator/>
      </w:r>
    </w:p>
  </w:footnote>
  <w:footnote w:type="continuationSeparator" w:id="0">
    <w:p w14:paraId="084BA354" w14:textId="77777777" w:rsidR="003E2872" w:rsidRDefault="003E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83B"/>
    <w:multiLevelType w:val="hybridMultilevel"/>
    <w:tmpl w:val="EE7813D0"/>
    <w:lvl w:ilvl="0" w:tplc="71ECCE68">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400A132E"/>
    <w:multiLevelType w:val="hybridMultilevel"/>
    <w:tmpl w:val="C3AE5F56"/>
    <w:lvl w:ilvl="0" w:tplc="22043AD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393235809">
    <w:abstractNumId w:val="1"/>
  </w:num>
  <w:num w:numId="2" w16cid:durableId="211505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A5"/>
    <w:rsid w:val="0001312D"/>
    <w:rsid w:val="00014B39"/>
    <w:rsid w:val="000161FB"/>
    <w:rsid w:val="00017428"/>
    <w:rsid w:val="0003732E"/>
    <w:rsid w:val="00040D2B"/>
    <w:rsid w:val="00044420"/>
    <w:rsid w:val="000444E5"/>
    <w:rsid w:val="00060995"/>
    <w:rsid w:val="00061DE8"/>
    <w:rsid w:val="000637B6"/>
    <w:rsid w:val="00065D5C"/>
    <w:rsid w:val="00070CFD"/>
    <w:rsid w:val="0007299D"/>
    <w:rsid w:val="00075A02"/>
    <w:rsid w:val="00092E02"/>
    <w:rsid w:val="0009691E"/>
    <w:rsid w:val="000A233B"/>
    <w:rsid w:val="000A2D56"/>
    <w:rsid w:val="000A3821"/>
    <w:rsid w:val="000A6C94"/>
    <w:rsid w:val="000B365F"/>
    <w:rsid w:val="000B52A9"/>
    <w:rsid w:val="000C4F6A"/>
    <w:rsid w:val="000C53BC"/>
    <w:rsid w:val="000C5CA9"/>
    <w:rsid w:val="000D45F4"/>
    <w:rsid w:val="000D4C7A"/>
    <w:rsid w:val="000D62CB"/>
    <w:rsid w:val="000D6623"/>
    <w:rsid w:val="000D6656"/>
    <w:rsid w:val="000E0C5C"/>
    <w:rsid w:val="000E578C"/>
    <w:rsid w:val="000F2198"/>
    <w:rsid w:val="000F5C1D"/>
    <w:rsid w:val="00100E1B"/>
    <w:rsid w:val="00101252"/>
    <w:rsid w:val="00117F51"/>
    <w:rsid w:val="00123EBC"/>
    <w:rsid w:val="00137F63"/>
    <w:rsid w:val="001427E8"/>
    <w:rsid w:val="00142E2F"/>
    <w:rsid w:val="0014442A"/>
    <w:rsid w:val="00156A03"/>
    <w:rsid w:val="00163816"/>
    <w:rsid w:val="00165A5D"/>
    <w:rsid w:val="00167EE7"/>
    <w:rsid w:val="00171DBB"/>
    <w:rsid w:val="00176693"/>
    <w:rsid w:val="00177311"/>
    <w:rsid w:val="00180F26"/>
    <w:rsid w:val="0018650D"/>
    <w:rsid w:val="001939CC"/>
    <w:rsid w:val="00197B4E"/>
    <w:rsid w:val="001A2DCF"/>
    <w:rsid w:val="001A7E4F"/>
    <w:rsid w:val="001B0C37"/>
    <w:rsid w:val="001B2D36"/>
    <w:rsid w:val="001C23AB"/>
    <w:rsid w:val="001D259A"/>
    <w:rsid w:val="001D27F3"/>
    <w:rsid w:val="001F102A"/>
    <w:rsid w:val="00202B2E"/>
    <w:rsid w:val="002036FA"/>
    <w:rsid w:val="00213680"/>
    <w:rsid w:val="0022064F"/>
    <w:rsid w:val="00225AE5"/>
    <w:rsid w:val="00234E96"/>
    <w:rsid w:val="00241724"/>
    <w:rsid w:val="002427D4"/>
    <w:rsid w:val="00250EE5"/>
    <w:rsid w:val="0025660E"/>
    <w:rsid w:val="00260E19"/>
    <w:rsid w:val="002853C5"/>
    <w:rsid w:val="002A2870"/>
    <w:rsid w:val="002B57B2"/>
    <w:rsid w:val="002B5E73"/>
    <w:rsid w:val="002C20DB"/>
    <w:rsid w:val="002E473C"/>
    <w:rsid w:val="002F11F0"/>
    <w:rsid w:val="002F46F6"/>
    <w:rsid w:val="002F70CC"/>
    <w:rsid w:val="00300C95"/>
    <w:rsid w:val="00303146"/>
    <w:rsid w:val="00306B49"/>
    <w:rsid w:val="00321630"/>
    <w:rsid w:val="00323E13"/>
    <w:rsid w:val="003355E7"/>
    <w:rsid w:val="00341985"/>
    <w:rsid w:val="00344B29"/>
    <w:rsid w:val="0034676B"/>
    <w:rsid w:val="00351247"/>
    <w:rsid w:val="003514E9"/>
    <w:rsid w:val="003610AC"/>
    <w:rsid w:val="0036254B"/>
    <w:rsid w:val="00370CAC"/>
    <w:rsid w:val="00374F8B"/>
    <w:rsid w:val="0037577E"/>
    <w:rsid w:val="00377BDF"/>
    <w:rsid w:val="00393DD5"/>
    <w:rsid w:val="00395779"/>
    <w:rsid w:val="003A66C2"/>
    <w:rsid w:val="003A7ACE"/>
    <w:rsid w:val="003B089E"/>
    <w:rsid w:val="003B6600"/>
    <w:rsid w:val="003D206F"/>
    <w:rsid w:val="003E0FEE"/>
    <w:rsid w:val="003E2872"/>
    <w:rsid w:val="003E77DF"/>
    <w:rsid w:val="003F1B6E"/>
    <w:rsid w:val="003F4BBA"/>
    <w:rsid w:val="00400332"/>
    <w:rsid w:val="004008D3"/>
    <w:rsid w:val="00407E21"/>
    <w:rsid w:val="0041255A"/>
    <w:rsid w:val="00412B10"/>
    <w:rsid w:val="00431330"/>
    <w:rsid w:val="00442535"/>
    <w:rsid w:val="00442C5A"/>
    <w:rsid w:val="00446122"/>
    <w:rsid w:val="00447DE1"/>
    <w:rsid w:val="00450A82"/>
    <w:rsid w:val="00451F7B"/>
    <w:rsid w:val="00457F39"/>
    <w:rsid w:val="00462F5E"/>
    <w:rsid w:val="004674E9"/>
    <w:rsid w:val="00473C31"/>
    <w:rsid w:val="0047588C"/>
    <w:rsid w:val="00476CED"/>
    <w:rsid w:val="00481621"/>
    <w:rsid w:val="00493654"/>
    <w:rsid w:val="00495245"/>
    <w:rsid w:val="004A1D92"/>
    <w:rsid w:val="004A7825"/>
    <w:rsid w:val="004B287C"/>
    <w:rsid w:val="004B3F79"/>
    <w:rsid w:val="004B753A"/>
    <w:rsid w:val="004C1327"/>
    <w:rsid w:val="004C2C75"/>
    <w:rsid w:val="004D3B4B"/>
    <w:rsid w:val="004E2007"/>
    <w:rsid w:val="004E52C6"/>
    <w:rsid w:val="004F71F7"/>
    <w:rsid w:val="005039F1"/>
    <w:rsid w:val="00503F3D"/>
    <w:rsid w:val="00504855"/>
    <w:rsid w:val="0051167A"/>
    <w:rsid w:val="0053262B"/>
    <w:rsid w:val="00540072"/>
    <w:rsid w:val="00541969"/>
    <w:rsid w:val="00544B7B"/>
    <w:rsid w:val="00550409"/>
    <w:rsid w:val="005518BB"/>
    <w:rsid w:val="00563C30"/>
    <w:rsid w:val="00574C1E"/>
    <w:rsid w:val="00575DB2"/>
    <w:rsid w:val="00583095"/>
    <w:rsid w:val="00587416"/>
    <w:rsid w:val="00590691"/>
    <w:rsid w:val="0059560F"/>
    <w:rsid w:val="005B4279"/>
    <w:rsid w:val="005C216A"/>
    <w:rsid w:val="005C3BC9"/>
    <w:rsid w:val="005D03DC"/>
    <w:rsid w:val="005E7A5D"/>
    <w:rsid w:val="005E7F56"/>
    <w:rsid w:val="005F094F"/>
    <w:rsid w:val="00615842"/>
    <w:rsid w:val="00625F64"/>
    <w:rsid w:val="00632246"/>
    <w:rsid w:val="00633ACE"/>
    <w:rsid w:val="00641FC7"/>
    <w:rsid w:val="00646F9A"/>
    <w:rsid w:val="006476C5"/>
    <w:rsid w:val="006524AC"/>
    <w:rsid w:val="00654BB8"/>
    <w:rsid w:val="00656EC8"/>
    <w:rsid w:val="00662000"/>
    <w:rsid w:val="00663F10"/>
    <w:rsid w:val="006721FF"/>
    <w:rsid w:val="006807BB"/>
    <w:rsid w:val="00691398"/>
    <w:rsid w:val="00692514"/>
    <w:rsid w:val="006A514B"/>
    <w:rsid w:val="006C7BED"/>
    <w:rsid w:val="006D3D77"/>
    <w:rsid w:val="006D45FC"/>
    <w:rsid w:val="006E0174"/>
    <w:rsid w:val="006E32BD"/>
    <w:rsid w:val="006E7EC3"/>
    <w:rsid w:val="00705286"/>
    <w:rsid w:val="00710D42"/>
    <w:rsid w:val="00721F95"/>
    <w:rsid w:val="00722AB4"/>
    <w:rsid w:val="007240C1"/>
    <w:rsid w:val="00732863"/>
    <w:rsid w:val="00737790"/>
    <w:rsid w:val="00740EAF"/>
    <w:rsid w:val="00750BEC"/>
    <w:rsid w:val="00765818"/>
    <w:rsid w:val="00766F05"/>
    <w:rsid w:val="00777B0D"/>
    <w:rsid w:val="00783209"/>
    <w:rsid w:val="00787F03"/>
    <w:rsid w:val="0079780E"/>
    <w:rsid w:val="00797D9D"/>
    <w:rsid w:val="007A0FE2"/>
    <w:rsid w:val="007A5589"/>
    <w:rsid w:val="007A7246"/>
    <w:rsid w:val="007A7558"/>
    <w:rsid w:val="007C2E75"/>
    <w:rsid w:val="007D3D38"/>
    <w:rsid w:val="007D621C"/>
    <w:rsid w:val="007E1613"/>
    <w:rsid w:val="007E1837"/>
    <w:rsid w:val="008014CE"/>
    <w:rsid w:val="00802528"/>
    <w:rsid w:val="00817B86"/>
    <w:rsid w:val="00817C4C"/>
    <w:rsid w:val="00821FBE"/>
    <w:rsid w:val="00823006"/>
    <w:rsid w:val="008337A6"/>
    <w:rsid w:val="00841FC9"/>
    <w:rsid w:val="00842E27"/>
    <w:rsid w:val="00845B0C"/>
    <w:rsid w:val="0084714C"/>
    <w:rsid w:val="0085592E"/>
    <w:rsid w:val="00862110"/>
    <w:rsid w:val="0087112C"/>
    <w:rsid w:val="008723D8"/>
    <w:rsid w:val="00874B70"/>
    <w:rsid w:val="00883EB9"/>
    <w:rsid w:val="00885D84"/>
    <w:rsid w:val="0088741A"/>
    <w:rsid w:val="00893A84"/>
    <w:rsid w:val="00895B36"/>
    <w:rsid w:val="00896DB8"/>
    <w:rsid w:val="008A25A4"/>
    <w:rsid w:val="008B243B"/>
    <w:rsid w:val="008B3067"/>
    <w:rsid w:val="008B7E33"/>
    <w:rsid w:val="008C14E4"/>
    <w:rsid w:val="008C2F2D"/>
    <w:rsid w:val="008C642D"/>
    <w:rsid w:val="008D3193"/>
    <w:rsid w:val="008D4D1A"/>
    <w:rsid w:val="008E0578"/>
    <w:rsid w:val="008F0164"/>
    <w:rsid w:val="008F26BD"/>
    <w:rsid w:val="00901DA5"/>
    <w:rsid w:val="009227E5"/>
    <w:rsid w:val="00937286"/>
    <w:rsid w:val="00942F08"/>
    <w:rsid w:val="00946A52"/>
    <w:rsid w:val="00956927"/>
    <w:rsid w:val="00961BE6"/>
    <w:rsid w:val="00970A63"/>
    <w:rsid w:val="009741FD"/>
    <w:rsid w:val="00975A41"/>
    <w:rsid w:val="009765A9"/>
    <w:rsid w:val="00980372"/>
    <w:rsid w:val="00984228"/>
    <w:rsid w:val="00985F67"/>
    <w:rsid w:val="009A7ACC"/>
    <w:rsid w:val="009B041A"/>
    <w:rsid w:val="009B0D61"/>
    <w:rsid w:val="009B2A82"/>
    <w:rsid w:val="009C4414"/>
    <w:rsid w:val="009C6869"/>
    <w:rsid w:val="009C6C14"/>
    <w:rsid w:val="009D5822"/>
    <w:rsid w:val="009E53CC"/>
    <w:rsid w:val="009E7BBA"/>
    <w:rsid w:val="009F12AE"/>
    <w:rsid w:val="009F5A53"/>
    <w:rsid w:val="009F6D6D"/>
    <w:rsid w:val="00A02A53"/>
    <w:rsid w:val="00A16478"/>
    <w:rsid w:val="00A1759D"/>
    <w:rsid w:val="00A202D3"/>
    <w:rsid w:val="00A238D7"/>
    <w:rsid w:val="00A23C18"/>
    <w:rsid w:val="00A2507D"/>
    <w:rsid w:val="00A264A5"/>
    <w:rsid w:val="00A27AFF"/>
    <w:rsid w:val="00A3479E"/>
    <w:rsid w:val="00A4058F"/>
    <w:rsid w:val="00A43BE7"/>
    <w:rsid w:val="00A47AA4"/>
    <w:rsid w:val="00A528B5"/>
    <w:rsid w:val="00A57020"/>
    <w:rsid w:val="00A62014"/>
    <w:rsid w:val="00A827F0"/>
    <w:rsid w:val="00A87295"/>
    <w:rsid w:val="00A901A4"/>
    <w:rsid w:val="00A90463"/>
    <w:rsid w:val="00A9265A"/>
    <w:rsid w:val="00A93C83"/>
    <w:rsid w:val="00AA02D5"/>
    <w:rsid w:val="00AA2CD9"/>
    <w:rsid w:val="00AC01A5"/>
    <w:rsid w:val="00AC6947"/>
    <w:rsid w:val="00AC6AB6"/>
    <w:rsid w:val="00AC79FC"/>
    <w:rsid w:val="00AD53AA"/>
    <w:rsid w:val="00AE2BC6"/>
    <w:rsid w:val="00AF0E2B"/>
    <w:rsid w:val="00AF1F81"/>
    <w:rsid w:val="00AF7B67"/>
    <w:rsid w:val="00B0316E"/>
    <w:rsid w:val="00B03CED"/>
    <w:rsid w:val="00B061B0"/>
    <w:rsid w:val="00B108E9"/>
    <w:rsid w:val="00B1251E"/>
    <w:rsid w:val="00B14E66"/>
    <w:rsid w:val="00B25C8B"/>
    <w:rsid w:val="00B30B83"/>
    <w:rsid w:val="00B3646A"/>
    <w:rsid w:val="00B43F7E"/>
    <w:rsid w:val="00B51B96"/>
    <w:rsid w:val="00B75604"/>
    <w:rsid w:val="00B76438"/>
    <w:rsid w:val="00B84F73"/>
    <w:rsid w:val="00B85B04"/>
    <w:rsid w:val="00BA7D1F"/>
    <w:rsid w:val="00BB359D"/>
    <w:rsid w:val="00BB7137"/>
    <w:rsid w:val="00BC6851"/>
    <w:rsid w:val="00BD3BAF"/>
    <w:rsid w:val="00BD7AE0"/>
    <w:rsid w:val="00BD7B46"/>
    <w:rsid w:val="00BE0C28"/>
    <w:rsid w:val="00BE225D"/>
    <w:rsid w:val="00BE2AD7"/>
    <w:rsid w:val="00BE4D75"/>
    <w:rsid w:val="00BE633F"/>
    <w:rsid w:val="00C20AC6"/>
    <w:rsid w:val="00C25513"/>
    <w:rsid w:val="00C43D20"/>
    <w:rsid w:val="00C50BE9"/>
    <w:rsid w:val="00C52F6E"/>
    <w:rsid w:val="00C54812"/>
    <w:rsid w:val="00C552C9"/>
    <w:rsid w:val="00C71A9E"/>
    <w:rsid w:val="00C81E4C"/>
    <w:rsid w:val="00C8555F"/>
    <w:rsid w:val="00C9004D"/>
    <w:rsid w:val="00C90112"/>
    <w:rsid w:val="00C90A17"/>
    <w:rsid w:val="00C94181"/>
    <w:rsid w:val="00C97185"/>
    <w:rsid w:val="00C9765A"/>
    <w:rsid w:val="00CA0BC4"/>
    <w:rsid w:val="00CA28C4"/>
    <w:rsid w:val="00CA57A2"/>
    <w:rsid w:val="00CC1CE3"/>
    <w:rsid w:val="00CC2BA8"/>
    <w:rsid w:val="00CC5AC6"/>
    <w:rsid w:val="00CD04D0"/>
    <w:rsid w:val="00CD3263"/>
    <w:rsid w:val="00CE2E27"/>
    <w:rsid w:val="00CE5CBE"/>
    <w:rsid w:val="00CF4F56"/>
    <w:rsid w:val="00D03463"/>
    <w:rsid w:val="00D107F2"/>
    <w:rsid w:val="00D24D40"/>
    <w:rsid w:val="00D315C4"/>
    <w:rsid w:val="00D41423"/>
    <w:rsid w:val="00D47069"/>
    <w:rsid w:val="00D5049D"/>
    <w:rsid w:val="00D50992"/>
    <w:rsid w:val="00D571EB"/>
    <w:rsid w:val="00D66925"/>
    <w:rsid w:val="00D67301"/>
    <w:rsid w:val="00D70FC7"/>
    <w:rsid w:val="00D7286F"/>
    <w:rsid w:val="00D81C42"/>
    <w:rsid w:val="00DA6FA0"/>
    <w:rsid w:val="00DB3D51"/>
    <w:rsid w:val="00DB4CF3"/>
    <w:rsid w:val="00DB4F8E"/>
    <w:rsid w:val="00DC145B"/>
    <w:rsid w:val="00DC3D4F"/>
    <w:rsid w:val="00DC5F7F"/>
    <w:rsid w:val="00DD758E"/>
    <w:rsid w:val="00DE23D3"/>
    <w:rsid w:val="00DE27A8"/>
    <w:rsid w:val="00DE29DD"/>
    <w:rsid w:val="00DE6CAA"/>
    <w:rsid w:val="00DF176B"/>
    <w:rsid w:val="00DF211B"/>
    <w:rsid w:val="00DF3950"/>
    <w:rsid w:val="00DF5FF0"/>
    <w:rsid w:val="00DF6354"/>
    <w:rsid w:val="00E00B83"/>
    <w:rsid w:val="00E00EF2"/>
    <w:rsid w:val="00E011D2"/>
    <w:rsid w:val="00E12234"/>
    <w:rsid w:val="00E14B58"/>
    <w:rsid w:val="00E1793C"/>
    <w:rsid w:val="00E33967"/>
    <w:rsid w:val="00E37067"/>
    <w:rsid w:val="00E4086A"/>
    <w:rsid w:val="00E42D60"/>
    <w:rsid w:val="00E5430B"/>
    <w:rsid w:val="00E56F28"/>
    <w:rsid w:val="00E574BE"/>
    <w:rsid w:val="00E57871"/>
    <w:rsid w:val="00E70C6B"/>
    <w:rsid w:val="00E81063"/>
    <w:rsid w:val="00E84A2D"/>
    <w:rsid w:val="00E94D3D"/>
    <w:rsid w:val="00EA07C6"/>
    <w:rsid w:val="00EA197F"/>
    <w:rsid w:val="00EA72C6"/>
    <w:rsid w:val="00EC67DC"/>
    <w:rsid w:val="00EC6AAB"/>
    <w:rsid w:val="00ED58C7"/>
    <w:rsid w:val="00EE7C4F"/>
    <w:rsid w:val="00EF219C"/>
    <w:rsid w:val="00F003F5"/>
    <w:rsid w:val="00F00EB5"/>
    <w:rsid w:val="00F14257"/>
    <w:rsid w:val="00F15552"/>
    <w:rsid w:val="00F21711"/>
    <w:rsid w:val="00F2618E"/>
    <w:rsid w:val="00F26665"/>
    <w:rsid w:val="00F317F7"/>
    <w:rsid w:val="00F32193"/>
    <w:rsid w:val="00F50E12"/>
    <w:rsid w:val="00F54FC6"/>
    <w:rsid w:val="00F57E37"/>
    <w:rsid w:val="00F65A31"/>
    <w:rsid w:val="00F71243"/>
    <w:rsid w:val="00F71EAE"/>
    <w:rsid w:val="00F74652"/>
    <w:rsid w:val="00F77163"/>
    <w:rsid w:val="00F838F5"/>
    <w:rsid w:val="00F956FA"/>
    <w:rsid w:val="00F9696F"/>
    <w:rsid w:val="00FA00FB"/>
    <w:rsid w:val="00FC35B9"/>
    <w:rsid w:val="00FD39F8"/>
    <w:rsid w:val="00FD3FA3"/>
    <w:rsid w:val="00FE1BC9"/>
    <w:rsid w:val="00FE77B3"/>
    <w:rsid w:val="00FF29B2"/>
    <w:rsid w:val="00FF45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BB92"/>
  <w15:chartTrackingRefBased/>
  <w15:docId w15:val="{AEF91836-9C1E-40E8-AF60-642E353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A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64A5"/>
    <w:pPr>
      <w:tabs>
        <w:tab w:val="center" w:pos="4536"/>
        <w:tab w:val="right" w:pos="9072"/>
      </w:tabs>
    </w:pPr>
    <w:rPr>
      <w:sz w:val="20"/>
      <w:szCs w:val="20"/>
      <w:lang w:val="en-US"/>
    </w:rPr>
  </w:style>
  <w:style w:type="character" w:customStyle="1" w:styleId="HeaderChar">
    <w:name w:val="Header Char"/>
    <w:basedOn w:val="DefaultParagraphFont"/>
    <w:link w:val="Header"/>
    <w:rsid w:val="00A264A5"/>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rsid w:val="00A264A5"/>
    <w:pPr>
      <w:tabs>
        <w:tab w:val="center" w:pos="4536"/>
        <w:tab w:val="right" w:pos="9072"/>
      </w:tabs>
    </w:pPr>
  </w:style>
  <w:style w:type="character" w:customStyle="1" w:styleId="FooterChar">
    <w:name w:val="Footer Char"/>
    <w:basedOn w:val="DefaultParagraphFont"/>
    <w:link w:val="Footer"/>
    <w:uiPriority w:val="99"/>
    <w:rsid w:val="00A264A5"/>
    <w:rPr>
      <w:rFonts w:ascii="Times New Roman" w:eastAsia="Times New Roman" w:hAnsi="Times New Roman" w:cs="Times New Roman"/>
      <w:sz w:val="24"/>
      <w:szCs w:val="24"/>
      <w:lang w:eastAsia="ro-RO"/>
    </w:rPr>
  </w:style>
  <w:style w:type="paragraph" w:styleId="ListParagraph">
    <w:name w:val="List Paragraph"/>
    <w:aliases w:val="Normal bullet 2,List Paragraph1"/>
    <w:basedOn w:val="Normal"/>
    <w:uiPriority w:val="34"/>
    <w:qFormat/>
    <w:rsid w:val="002C20DB"/>
    <w:pPr>
      <w:ind w:left="720"/>
      <w:contextualSpacing/>
    </w:pPr>
    <w:rPr>
      <w:lang w:val="en-US" w:eastAsia="en-US"/>
    </w:rPr>
  </w:style>
  <w:style w:type="paragraph" w:styleId="BalloonText">
    <w:name w:val="Balloon Text"/>
    <w:basedOn w:val="Normal"/>
    <w:link w:val="BalloonTextChar"/>
    <w:uiPriority w:val="99"/>
    <w:semiHidden/>
    <w:unhideWhenUsed/>
    <w:rsid w:val="00A52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8B5"/>
    <w:rPr>
      <w:rFonts w:ascii="Segoe UI" w:eastAsia="Times New Roman" w:hAnsi="Segoe UI" w:cs="Segoe UI"/>
      <w:sz w:val="18"/>
      <w:szCs w:val="18"/>
      <w:lang w:eastAsia="ro-RO"/>
    </w:rPr>
  </w:style>
  <w:style w:type="paragraph" w:customStyle="1" w:styleId="Style4">
    <w:name w:val="Style4"/>
    <w:basedOn w:val="Normal"/>
    <w:uiPriority w:val="99"/>
    <w:rsid w:val="00AD53AA"/>
    <w:pPr>
      <w:widowControl w:val="0"/>
      <w:autoSpaceDE w:val="0"/>
      <w:autoSpaceDN w:val="0"/>
      <w:adjustRightInd w:val="0"/>
      <w:spacing w:line="284" w:lineRule="exact"/>
      <w:ind w:firstLine="691"/>
      <w:jc w:val="both"/>
    </w:pPr>
    <w:rPr>
      <w:rFonts w:eastAsiaTheme="minorEastAsia"/>
    </w:rPr>
  </w:style>
  <w:style w:type="paragraph" w:customStyle="1" w:styleId="Style7">
    <w:name w:val="Style7"/>
    <w:basedOn w:val="Normal"/>
    <w:uiPriority w:val="99"/>
    <w:rsid w:val="00AD53AA"/>
    <w:pPr>
      <w:widowControl w:val="0"/>
      <w:autoSpaceDE w:val="0"/>
      <w:autoSpaceDN w:val="0"/>
      <w:adjustRightInd w:val="0"/>
      <w:spacing w:line="284" w:lineRule="exact"/>
      <w:ind w:firstLine="677"/>
      <w:jc w:val="both"/>
    </w:pPr>
    <w:rPr>
      <w:rFonts w:eastAsiaTheme="minorEastAsia"/>
    </w:rPr>
  </w:style>
  <w:style w:type="character" w:customStyle="1" w:styleId="FontStyle25">
    <w:name w:val="Font Style25"/>
    <w:basedOn w:val="DefaultParagraphFont"/>
    <w:uiPriority w:val="99"/>
    <w:rsid w:val="00AD53AA"/>
    <w:rPr>
      <w:rFonts w:ascii="Times New Roman" w:hAnsi="Times New Roman" w:cs="Times New Roman"/>
      <w:sz w:val="22"/>
      <w:szCs w:val="22"/>
    </w:rPr>
  </w:style>
  <w:style w:type="character" w:customStyle="1" w:styleId="FontStyle26">
    <w:name w:val="Font Style26"/>
    <w:basedOn w:val="DefaultParagraphFont"/>
    <w:uiPriority w:val="99"/>
    <w:rsid w:val="00AD53AA"/>
    <w:rPr>
      <w:rFonts w:ascii="Times New Roman" w:hAnsi="Times New Roman" w:cs="Times New Roman"/>
      <w:b/>
      <w:bCs/>
      <w:sz w:val="22"/>
      <w:szCs w:val="22"/>
    </w:rPr>
  </w:style>
  <w:style w:type="character" w:customStyle="1" w:styleId="FontStyle28">
    <w:name w:val="Font Style28"/>
    <w:basedOn w:val="DefaultParagraphFont"/>
    <w:uiPriority w:val="99"/>
    <w:rsid w:val="00AD53AA"/>
    <w:rPr>
      <w:rFonts w:ascii="Times New Roman" w:hAnsi="Times New Roman" w:cs="Times New Roman"/>
      <w:i/>
      <w:iCs/>
      <w:sz w:val="22"/>
      <w:szCs w:val="22"/>
    </w:rPr>
  </w:style>
  <w:style w:type="paragraph" w:customStyle="1" w:styleId="Style14">
    <w:name w:val="Style14"/>
    <w:basedOn w:val="Normal"/>
    <w:uiPriority w:val="99"/>
    <w:rsid w:val="00AD53AA"/>
    <w:pPr>
      <w:widowControl w:val="0"/>
      <w:autoSpaceDE w:val="0"/>
      <w:autoSpaceDN w:val="0"/>
      <w:adjustRightInd w:val="0"/>
      <w:spacing w:line="284" w:lineRule="exact"/>
      <w:ind w:firstLine="691"/>
      <w:jc w:val="both"/>
    </w:pPr>
    <w:rPr>
      <w:rFonts w:eastAsiaTheme="minorEastAsia"/>
    </w:rPr>
  </w:style>
  <w:style w:type="character" w:customStyle="1" w:styleId="FontStyle31">
    <w:name w:val="Font Style31"/>
    <w:basedOn w:val="DefaultParagraphFont"/>
    <w:uiPriority w:val="99"/>
    <w:rsid w:val="00AD53AA"/>
    <w:rPr>
      <w:rFonts w:ascii="Times New Roman" w:hAnsi="Times New Roman" w:cs="Times New Roman"/>
      <w:b/>
      <w:bCs/>
      <w:sz w:val="20"/>
      <w:szCs w:val="20"/>
    </w:rPr>
  </w:style>
  <w:style w:type="paragraph" w:customStyle="1" w:styleId="Style11">
    <w:name w:val="Style11"/>
    <w:basedOn w:val="Normal"/>
    <w:uiPriority w:val="99"/>
    <w:rsid w:val="00AD53AA"/>
    <w:pPr>
      <w:widowControl w:val="0"/>
      <w:autoSpaceDE w:val="0"/>
      <w:autoSpaceDN w:val="0"/>
      <w:adjustRightInd w:val="0"/>
      <w:spacing w:line="283" w:lineRule="exact"/>
      <w:ind w:firstLine="691"/>
      <w:jc w:val="both"/>
    </w:pPr>
    <w:rPr>
      <w:rFonts w:eastAsiaTheme="minorEastAsia"/>
    </w:rPr>
  </w:style>
  <w:style w:type="character" w:styleId="Emphasis">
    <w:name w:val="Emphasis"/>
    <w:basedOn w:val="DefaultParagraphFont"/>
    <w:uiPriority w:val="20"/>
    <w:qFormat/>
    <w:rsid w:val="00AD5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t2.gstatic.com/images?q=tbn:ANd9GcQebf9UVoTATbwhS9auCTlU-SN3hYKCuofUIW7ES-oWq4__xnbhJcSOo2k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ro/imgres?imgurl=http://www.produsin.ro/wp-content/uploads/2009/09/stema_romania.gif&amp;imgrefurl=http://www.produsin.ro/articole/informare/drapelul-stema-si-imnul/&amp;usg=__2JN8h2jSqvLCLlBMtNBou4k0O9E=&amp;h=770&amp;w=561&amp;sz=93&amp;hl=ro&amp;start=3&amp;sig2=juo54okAcHYFvfVkiMWAtQ&amp;zoom=1&amp;tbnid=VF3eWf9giUf9IM:&amp;tbnh=142&amp;tbnw=103&amp;ei=yMObTub7Hcr-4QTQtqGHBA&amp;prev=/search%3Fq%3Dstema%2Bromaniei%26hl%3Dro%26gbv%3D2%26tbm%3Disch&amp;itb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414471C4B4459F97139A2D9D53FB" ma:contentTypeVersion="2" ma:contentTypeDescription="Creați un document nou." ma:contentTypeScope="" ma:versionID="d613510da7024c8f02032b03ff0613b5">
  <xsd:schema xmlns:xsd="http://www.w3.org/2001/XMLSchema" xmlns:xs="http://www.w3.org/2001/XMLSchema" xmlns:p="http://schemas.microsoft.com/office/2006/metadata/properties" xmlns:ns1="http://schemas.microsoft.com/sharepoint/v3" xmlns:ns2="14da4639-88cd-41d4-8180-e0b1ea3a844a" targetNamespace="http://schemas.microsoft.com/office/2006/metadata/properties" ma:root="true" ma:fieldsID="6983d863b5a4e59c32e5d27019b6b6f4" ns1:_="" ns2:_="">
    <xsd:import namespace="http://schemas.microsoft.com/sharepoint/v3"/>
    <xsd:import namespace="14da4639-88cd-41d4-8180-e0b1ea3a844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rogramare dată de început" ma:description="" ma:hidden="true" ma:internalName="PublishingStartDate">
      <xsd:simpleType>
        <xsd:restriction base="dms:Unknown"/>
      </xsd:simpleType>
    </xsd:element>
    <xsd:element name="PublishingExpirationDate" ma:index="9" nillable="true" ma:displayName="Programare dată de sfârșit"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10" nillable="true" ma:displayName="Valoare ID document" ma:description="Valoarea ID-ului de document atribuită acestui element." ma:internalName="_dlc_DocId" ma:readOnly="true">
      <xsd:simpleType>
        <xsd:restriction base="dms:Text"/>
      </xsd:simpleType>
    </xsd:element>
    <xsd:element name="_dlc_DocIdUrl" ma:index="11"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3FC3F-F678-4A23-A10D-CC84089CA5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110F20-C514-42A7-9CE2-A300610729CB}">
  <ds:schemaRefs>
    <ds:schemaRef ds:uri="http://schemas.microsoft.com/sharepoint/events"/>
  </ds:schemaRefs>
</ds:datastoreItem>
</file>

<file path=customXml/itemProps3.xml><?xml version="1.0" encoding="utf-8"?>
<ds:datastoreItem xmlns:ds="http://schemas.openxmlformats.org/officeDocument/2006/customXml" ds:itemID="{CFB4ED0F-A98E-4B81-B55B-0D7FC0E11F47}">
  <ds:schemaRefs>
    <ds:schemaRef ds:uri="http://schemas.microsoft.com/sharepoint/v3/contenttype/forms"/>
  </ds:schemaRefs>
</ds:datastoreItem>
</file>

<file path=customXml/itemProps4.xml><?xml version="1.0" encoding="utf-8"?>
<ds:datastoreItem xmlns:ds="http://schemas.openxmlformats.org/officeDocument/2006/customXml" ds:itemID="{56A7883A-096C-4A27-9052-4145C50C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3985</Words>
  <Characters>23119</Characters>
  <Application>Microsoft Office Word</Application>
  <DocSecurity>0</DocSecurity>
  <Lines>192</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Florica Dobai</dc:creator>
  <cp:keywords/>
  <dc:description/>
  <cp:lastModifiedBy>UNBR UNBR</cp:lastModifiedBy>
  <cp:revision>2</cp:revision>
  <cp:lastPrinted>2023-05-31T09:36:00Z</cp:lastPrinted>
  <dcterms:created xsi:type="dcterms:W3CDTF">2025-08-28T18:05:00Z</dcterms:created>
  <dcterms:modified xsi:type="dcterms:W3CDTF">2025-08-28T18:05:00Z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0x010100E0B0414471C4B4459F97139A2D9D53FB</vt:lpwstr>
  </property>
</Properties>
</file>