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9A72" w14:textId="77777777" w:rsidR="00F47AB7" w:rsidRPr="00F47AB7" w:rsidRDefault="00F47AB7" w:rsidP="00F47AB7">
      <w:r w:rsidRPr="00F47AB7">
        <w:rPr>
          <w:b/>
          <w:bCs/>
        </w:rPr>
        <w:t>BIROUL DE INFORMARE ŞI RELAŢII PUBLICE</w:t>
      </w:r>
    </w:p>
    <w:p w14:paraId="44CCBCC3" w14:textId="77777777" w:rsidR="00F47AB7" w:rsidRPr="00F47AB7" w:rsidRDefault="00F47AB7" w:rsidP="00F47AB7">
      <w:r w:rsidRPr="00F47AB7">
        <w:rPr>
          <w:b/>
          <w:bCs/>
        </w:rPr>
        <w:t>26 AUGUST 2025</w:t>
      </w:r>
    </w:p>
    <w:p w14:paraId="7D726B43" w14:textId="77777777" w:rsidR="00F47AB7" w:rsidRPr="00F47AB7" w:rsidRDefault="00F47AB7" w:rsidP="00F47AB7">
      <w:r w:rsidRPr="00F47AB7">
        <w:t> </w:t>
      </w:r>
    </w:p>
    <w:p w14:paraId="2989F528" w14:textId="77777777" w:rsidR="00F47AB7" w:rsidRPr="00F47AB7" w:rsidRDefault="00F47AB7" w:rsidP="00F47AB7">
      <w:r w:rsidRPr="00F47AB7">
        <w:t>La data de 26 august 2025, ora 13.00, la sediul Judecătoriei Hârşova a avut loc ședința Adunării Generale a Judecătorilor, convocată de Secția pentru judecători a Consiliului Superior al Magistraturii, în temeiul art.55 alin.(4) din Legea nr.304/2022 privind organizarea judiciară, având înscris pe ordinea de zi ca punct unic: Exprimarea unui punct de vedere referitor la proiectul de Lege pentru modificarea și completarea unor acte normative din domeniul pensiilor de serviciu și la măsurile necesare în vederea protejării statutului magistraților și a independenței justiției.</w:t>
      </w:r>
    </w:p>
    <w:p w14:paraId="2C8ED746" w14:textId="77777777" w:rsidR="00F47AB7" w:rsidRPr="00F47AB7" w:rsidRDefault="00F47AB7" w:rsidP="00F47AB7">
      <w:r w:rsidRPr="00F47AB7">
        <w:t>După dezbateri și supunere la vot, Adunarea Generală a Judecătorilor Judecătoriei Hârşova, în temeiul dispozițiilor </w:t>
      </w:r>
      <w:r w:rsidRPr="00F47AB7">
        <w:rPr>
          <w:i/>
          <w:iCs/>
        </w:rPr>
        <w:t>art.13 lit.(c) din Regulamentul de ordine interioară al instanțelor judecătorești aprobat prin Hotărârea Secției pentru judecători a Consiliului Superior al Magistraturii nr.3243/2022, </w:t>
      </w:r>
      <w:r w:rsidRPr="00F47AB7">
        <w:t>a hotărât:</w:t>
      </w:r>
    </w:p>
    <w:p w14:paraId="7EE566CD" w14:textId="77777777" w:rsidR="00F47AB7" w:rsidRPr="00F47AB7" w:rsidRDefault="00F47AB7" w:rsidP="00F47AB7">
      <w:r w:rsidRPr="00F47AB7">
        <w:rPr>
          <w:b/>
          <w:bCs/>
        </w:rPr>
        <w:t>,,</w:t>
      </w:r>
      <w:r w:rsidRPr="00F47AB7">
        <w:t> </w:t>
      </w:r>
      <w:r w:rsidRPr="00F47AB7">
        <w:rPr>
          <w:b/>
          <w:bCs/>
        </w:rPr>
        <w:t>Art. 1. Cu unanimitate de voturi solicită ferm retragerea de urgență a proiectului de lege</w:t>
      </w:r>
      <w:r w:rsidRPr="00F47AB7">
        <w:rPr>
          <w:b/>
          <w:bCs/>
        </w:rPr>
        <w:br/>
      </w:r>
    </w:p>
    <w:p w14:paraId="41A5C686" w14:textId="77777777" w:rsidR="00F47AB7" w:rsidRPr="00F47AB7" w:rsidRDefault="00F47AB7" w:rsidP="00F47AB7">
      <w:r w:rsidRPr="00F47AB7">
        <w:rPr>
          <w:b/>
          <w:bCs/>
        </w:rPr>
        <w:t>privind reforma pensiilor de serviciu ale magistraților.</w:t>
      </w:r>
      <w:r w:rsidRPr="00F47AB7">
        <w:rPr>
          <w:b/>
          <w:bCs/>
        </w:rPr>
        <w:br/>
      </w:r>
    </w:p>
    <w:p w14:paraId="0FBDECDB" w14:textId="77777777" w:rsidR="00F47AB7" w:rsidRPr="00F47AB7" w:rsidRDefault="00F47AB7" w:rsidP="00F47AB7">
      <w:r w:rsidRPr="00F47AB7">
        <w:t>Art.2. Cu unanimitate de voturi solicită ferm reprezentanților puterii executive și puterii legislative să înceteze campania agresivă împotriva autorității judecătorești, care afectează grav statul de drept, drepturile și libertățile cetățenilor ce pot fi garantate efectiv doar de o justiție independentă.</w:t>
      </w:r>
    </w:p>
    <w:p w14:paraId="04344FCD" w14:textId="77777777" w:rsidR="00F47AB7" w:rsidRPr="00F47AB7" w:rsidRDefault="00F47AB7" w:rsidP="00F47AB7">
      <w:r w:rsidRPr="00F47AB7">
        <w:t>Art.3. Cu unanimitate de voturi, începând cu data de 27.08.2025 și până la retragerea proiectului de lege, suspendă soluționarea cauzelor în materie civilă, cu excepția celor având ca obiect: ordin de protecţie, internare medicală nevoluntară, internarea provizorie nevoluntară, ordonanţă preşedinţială privind situaţiile de risc pentru     viaţa şi integritatea fizică şi psihică a minorilor, precum şi incidentele procedurale cu privire la aceste cauze, iar în materie penală, cu excepţia celor în care se exercită funcția de dispoziție asupra drepturilor și libertăților     fundamentale ale persoanei, în faza de urmărire penală (art.3 alin.1 lit.b) Cod procedură penală) şi a cauzelor având   ca obiect dispoziția asupra măsurilor preventive (în faza de cameră preliminară și în faza de judecată).</w:t>
      </w:r>
    </w:p>
    <w:p w14:paraId="65E60E76" w14:textId="77777777" w:rsidR="00F47AB7" w:rsidRPr="00F47AB7" w:rsidRDefault="00F47AB7" w:rsidP="00F47AB7">
      <w:r w:rsidRPr="00F47AB7">
        <w:t>   Art. 4. Judecătorii își vor îndeplini atribuțiile administrative, cele privind motivarea hotărârilor, efectuarea procedurilor de verificare și regularizare a cererilor, studiul individual și formarea profesională continuă, precum și</w:t>
      </w:r>
      <w:r w:rsidRPr="00F47AB7">
        <w:br/>
      </w:r>
    </w:p>
    <w:p w14:paraId="45C5BE67" w14:textId="77777777" w:rsidR="00F47AB7" w:rsidRPr="00F47AB7" w:rsidRDefault="00F47AB7" w:rsidP="00F47AB7">
      <w:r w:rsidRPr="00F47AB7">
        <w:lastRenderedPageBreak/>
        <w:t>alte atribuții legale și regulamentare (cu excepția judecării cauzelor, în afara cazurilor menționate în art. 3).</w:t>
      </w:r>
    </w:p>
    <w:p w14:paraId="4E2640B8" w14:textId="77777777" w:rsidR="00F47AB7" w:rsidRPr="00F47AB7" w:rsidRDefault="00F47AB7" w:rsidP="00F47AB7">
      <w:r w:rsidRPr="00F47AB7">
        <w:t>Art.5 – Prezenta hotărâre se comunică Consiliului Superior al Magistraturii.</w:t>
      </w:r>
    </w:p>
    <w:p w14:paraId="2C8DC1BD" w14:textId="77777777" w:rsidR="00F47AB7" w:rsidRPr="00F47AB7" w:rsidRDefault="00F47AB7" w:rsidP="00F47AB7">
      <w:r w:rsidRPr="00F47AB7">
        <w:t>Adoptată azi, 26 august 2025, la sediul Judecătoriei Hârşova.</w:t>
      </w:r>
      <w:r w:rsidRPr="00F47AB7">
        <w:rPr>
          <w:i/>
          <w:iCs/>
        </w:rPr>
        <w:t>”</w:t>
      </w:r>
      <w:r w:rsidRPr="00F47AB7">
        <w:rPr>
          <w:i/>
          <w:iCs/>
        </w:rPr>
        <w:br/>
      </w:r>
    </w:p>
    <w:p w14:paraId="554E42E8" w14:textId="3BBF0B83" w:rsidR="00F47AB7" w:rsidRPr="00F47AB7" w:rsidRDefault="00F47AB7" w:rsidP="00F47AB7">
      <w:hyperlink r:id="rId4" w:history="1">
        <w:r w:rsidRPr="00F47AB7">
          <w:rPr>
            <w:rStyle w:val="Hyperlink"/>
            <w:i/>
            <w:iCs/>
          </w:rPr>
          <w:drawing>
            <wp:inline distT="0" distB="0" distL="0" distR="0" wp14:anchorId="571D6279" wp14:editId="6C956E8D">
              <wp:extent cx="152400" cy="152400"/>
              <wp:effectExtent l="0" t="0" r="0" b="0"/>
              <wp:docPr id="1830790247" name="Picture 2" descr="Hotararea AG nr. 2 din 26.08.2025 scanata.pd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tararea AG nr. 2 din 26.08.2025 scanata.pd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7AB7">
          <w:rPr>
            <w:rStyle w:val="Hyperlink"/>
            <w:i/>
            <w:iCs/>
          </w:rPr>
          <w:t>Hotararea AG nr. 2 din 26.08.2025</w:t>
        </w:r>
      </w:hyperlink>
    </w:p>
    <w:p w14:paraId="3669908E" w14:textId="77777777" w:rsidR="00F47AB7" w:rsidRPr="00F47AB7" w:rsidRDefault="00F47AB7" w:rsidP="00F47AB7">
      <w:r w:rsidRPr="00F47AB7">
        <w:t>         Aducem la cunoştinţa tuturor participanţilor la procedurile judiciare că înţelegem consecinţele formei de protest adoptate, dar am fost nevoiţi să recurgem la această măsură, fiind în interesul societăţii ca statutul judecătorului să fie unul puternic, respectat şi independent.</w:t>
      </w:r>
    </w:p>
    <w:p w14:paraId="0ADB5C00" w14:textId="77777777" w:rsidR="00F47AB7" w:rsidRPr="00F47AB7" w:rsidRDefault="00F47AB7" w:rsidP="00F47AB7">
      <w:r w:rsidRPr="00F47AB7">
        <w:t>         Statutul judecătorului nu este un privilegiu al acestuia, ci este dreptul societăţii de a avea o justiţie independentă şi imparţială. Independenţa judecătorului nu poate face obiectul negocierii politice, iar un corp profesional desconsiderat nu va mai oferi societăţii garanţii de independenţă.</w:t>
      </w:r>
    </w:p>
    <w:p w14:paraId="1C651942" w14:textId="77777777" w:rsidR="00F47AB7" w:rsidRPr="00F47AB7" w:rsidRDefault="00F47AB7" w:rsidP="00F47AB7">
      <w:r w:rsidRPr="00F47AB7">
        <w:t>                              </w:t>
      </w:r>
    </w:p>
    <w:p w14:paraId="6D86C7B9" w14:textId="77777777" w:rsidR="00F47AB7" w:rsidRPr="00F47AB7" w:rsidRDefault="00F47AB7" w:rsidP="00F47AB7">
      <w:hyperlink r:id="rId6" w:history="1">
        <w:r w:rsidRPr="00F47AB7">
          <w:rPr>
            <w:rStyle w:val="Hyperlink"/>
          </w:rPr>
          <w:t>  </w:t>
        </w:r>
      </w:hyperlink>
    </w:p>
    <w:p w14:paraId="66A900BC" w14:textId="77777777" w:rsidR="00F47AB7" w:rsidRPr="00F47AB7" w:rsidRDefault="00F47AB7" w:rsidP="00F47AB7"/>
    <w:p w14:paraId="7C8E284D" w14:textId="77777777" w:rsidR="00F47AB7" w:rsidRPr="00F47AB7" w:rsidRDefault="00F47AB7" w:rsidP="00F47AB7">
      <w:r w:rsidRPr="00F47AB7">
        <w:br/>
      </w:r>
      <w:r w:rsidRPr="00F47AB7">
        <w:rPr>
          <w:b/>
          <w:bCs/>
        </w:rPr>
        <w:t>Purtător de cuvânt,</w:t>
      </w:r>
    </w:p>
    <w:p w14:paraId="74AD0369" w14:textId="77777777" w:rsidR="00F47AB7" w:rsidRPr="00F47AB7" w:rsidRDefault="00F47AB7" w:rsidP="00F47AB7">
      <w:r w:rsidRPr="00F47AB7">
        <w:rPr>
          <w:b/>
          <w:bCs/>
        </w:rPr>
        <w:t>PREŞEDINTE</w:t>
      </w:r>
    </w:p>
    <w:p w14:paraId="2C68D3A6" w14:textId="77777777" w:rsidR="00F47AB7" w:rsidRPr="00F47AB7" w:rsidRDefault="00F47AB7" w:rsidP="00F47AB7">
      <w:r w:rsidRPr="00F47AB7">
        <w:rPr>
          <w:b/>
          <w:bCs/>
        </w:rPr>
        <w:t> </w:t>
      </w:r>
    </w:p>
    <w:p w14:paraId="4C8C4E90" w14:textId="77777777" w:rsidR="00F47AB7" w:rsidRPr="00F47AB7" w:rsidRDefault="00F47AB7" w:rsidP="00F47AB7">
      <w:r w:rsidRPr="00F47AB7">
        <w:rPr>
          <w:b/>
          <w:bCs/>
        </w:rPr>
        <w:t>Judecător Alina – Isabela STĂNESCU</w:t>
      </w:r>
    </w:p>
    <w:p w14:paraId="0FD90A68"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B7"/>
    <w:rsid w:val="00223986"/>
    <w:rsid w:val="00D61A3C"/>
    <w:rsid w:val="00DB3D51"/>
    <w:rsid w:val="00DD7D6E"/>
    <w:rsid w:val="00F47A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B756"/>
  <w15:chartTrackingRefBased/>
  <w15:docId w15:val="{44E037A7-3823-4500-85B8-A2EDF608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AB7"/>
    <w:rPr>
      <w:rFonts w:eastAsiaTheme="majorEastAsia" w:cstheme="majorBidi"/>
      <w:color w:val="272727" w:themeColor="text1" w:themeTint="D8"/>
    </w:rPr>
  </w:style>
  <w:style w:type="paragraph" w:styleId="Title">
    <w:name w:val="Title"/>
    <w:basedOn w:val="Normal"/>
    <w:next w:val="Normal"/>
    <w:link w:val="TitleChar"/>
    <w:uiPriority w:val="10"/>
    <w:qFormat/>
    <w:rsid w:val="00F47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AB7"/>
    <w:pPr>
      <w:spacing w:before="160"/>
      <w:jc w:val="center"/>
    </w:pPr>
    <w:rPr>
      <w:i/>
      <w:iCs/>
      <w:color w:val="404040" w:themeColor="text1" w:themeTint="BF"/>
    </w:rPr>
  </w:style>
  <w:style w:type="character" w:customStyle="1" w:styleId="QuoteChar">
    <w:name w:val="Quote Char"/>
    <w:basedOn w:val="DefaultParagraphFont"/>
    <w:link w:val="Quote"/>
    <w:uiPriority w:val="29"/>
    <w:rsid w:val="00F47AB7"/>
    <w:rPr>
      <w:i/>
      <w:iCs/>
      <w:color w:val="404040" w:themeColor="text1" w:themeTint="BF"/>
    </w:rPr>
  </w:style>
  <w:style w:type="paragraph" w:styleId="ListParagraph">
    <w:name w:val="List Paragraph"/>
    <w:basedOn w:val="Normal"/>
    <w:uiPriority w:val="34"/>
    <w:qFormat/>
    <w:rsid w:val="00F47AB7"/>
    <w:pPr>
      <w:ind w:left="720"/>
      <w:contextualSpacing/>
    </w:pPr>
  </w:style>
  <w:style w:type="character" w:styleId="IntenseEmphasis">
    <w:name w:val="Intense Emphasis"/>
    <w:basedOn w:val="DefaultParagraphFont"/>
    <w:uiPriority w:val="21"/>
    <w:qFormat/>
    <w:rsid w:val="00F47AB7"/>
    <w:rPr>
      <w:i/>
      <w:iCs/>
      <w:color w:val="0F4761" w:themeColor="accent1" w:themeShade="BF"/>
    </w:rPr>
  </w:style>
  <w:style w:type="paragraph" w:styleId="IntenseQuote">
    <w:name w:val="Intense Quote"/>
    <w:basedOn w:val="Normal"/>
    <w:next w:val="Normal"/>
    <w:link w:val="IntenseQuoteChar"/>
    <w:uiPriority w:val="30"/>
    <w:qFormat/>
    <w:rsid w:val="00F47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AB7"/>
    <w:rPr>
      <w:i/>
      <w:iCs/>
      <w:color w:val="0F4761" w:themeColor="accent1" w:themeShade="BF"/>
    </w:rPr>
  </w:style>
  <w:style w:type="character" w:styleId="IntenseReference">
    <w:name w:val="Intense Reference"/>
    <w:basedOn w:val="DefaultParagraphFont"/>
    <w:uiPriority w:val="32"/>
    <w:qFormat/>
    <w:rsid w:val="00F47AB7"/>
    <w:rPr>
      <w:b/>
      <w:bCs/>
      <w:smallCaps/>
      <w:color w:val="0F4761" w:themeColor="accent1" w:themeShade="BF"/>
      <w:spacing w:val="5"/>
    </w:rPr>
  </w:style>
  <w:style w:type="character" w:styleId="Hyperlink">
    <w:name w:val="Hyperlink"/>
    <w:basedOn w:val="DefaultParagraphFont"/>
    <w:uiPriority w:val="99"/>
    <w:unhideWhenUsed/>
    <w:rsid w:val="00F47AB7"/>
    <w:rPr>
      <w:color w:val="467886" w:themeColor="hyperlink"/>
      <w:u w:val="single"/>
    </w:rPr>
  </w:style>
  <w:style w:type="character" w:styleId="UnresolvedMention">
    <w:name w:val="Unresolved Mention"/>
    <w:basedOn w:val="DefaultParagraphFont"/>
    <w:uiPriority w:val="99"/>
    <w:semiHidden/>
    <w:unhideWhenUsed/>
    <w:rsid w:val="00F4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just.ro/842/SiteAssets/SitePages/acasa_default/Hotararea%20AG%20nr.%202%20din%2026.08.2025%20scanata.pdf" TargetMode="External"/><Relationship Id="rId5" Type="http://schemas.openxmlformats.org/officeDocument/2006/relationships/image" Target="media/image1.png"/><Relationship Id="rId4" Type="http://schemas.openxmlformats.org/officeDocument/2006/relationships/hyperlink" Target="https://portal.just.ro/842/SiteAssets/SitePages/acasa_default/Hotararea%20AG%20nr.%202%20din%2026.08.2025%20scan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3162</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2025-08-28T15:42:00Z</dcterms:created>
  <dcterms:modified xsi:type="dcterms:W3CDTF">2025-08-28T15:43:00Z</dcterms:modified>
</cp:coreProperties>
</file>