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45DB9" w14:textId="77777777" w:rsidR="00BB260C" w:rsidRPr="00BB260C" w:rsidRDefault="00BB260C" w:rsidP="00BB260C">
      <w:r w:rsidRPr="00BB260C">
        <w:rPr>
          <w:b/>
          <w:bCs/>
        </w:rPr>
        <w:t>COMUNICAT DE PRESĂ</w:t>
      </w:r>
    </w:p>
    <w:p w14:paraId="45FC6CE8" w14:textId="77777777" w:rsidR="00BB260C" w:rsidRPr="00BB260C" w:rsidRDefault="00BB260C" w:rsidP="00BB260C">
      <w:r w:rsidRPr="00BB260C">
        <w:rPr>
          <w:b/>
          <w:bCs/>
        </w:rPr>
        <w:t> </w:t>
      </w:r>
    </w:p>
    <w:p w14:paraId="7FEACCEE" w14:textId="77777777" w:rsidR="00BB260C" w:rsidRPr="00BB260C" w:rsidRDefault="00BB260C" w:rsidP="00BB260C">
      <w:r w:rsidRPr="00BB260C">
        <w:rPr>
          <w:b/>
          <w:bCs/>
        </w:rPr>
        <w:t> </w:t>
      </w:r>
    </w:p>
    <w:p w14:paraId="6DC4BFB1" w14:textId="77777777" w:rsidR="00BB260C" w:rsidRPr="00BB260C" w:rsidRDefault="00BB260C" w:rsidP="00BB260C">
      <w:r w:rsidRPr="00BB260C">
        <w:t>Judecătorii din cadrul Judecătoriei Sectorului 4 București, întruniţi în Adunarea Generală, astăzi, </w:t>
      </w:r>
      <w:r w:rsidRPr="00BB260C">
        <w:br/>
      </w:r>
    </w:p>
    <w:p w14:paraId="2FFAE59C" w14:textId="77777777" w:rsidR="00BB260C" w:rsidRPr="00BB260C" w:rsidRDefault="00BB260C" w:rsidP="00BB260C">
      <w:r w:rsidRPr="00BB260C">
        <w:t>27.08.2025, au decis, în unanimitate, următoarele:</w:t>
      </w:r>
    </w:p>
    <w:p w14:paraId="47475256" w14:textId="77777777" w:rsidR="00BB260C" w:rsidRPr="00BB260C" w:rsidRDefault="00BB260C" w:rsidP="00BB260C">
      <w:r w:rsidRPr="00BB260C">
        <w:t> </w:t>
      </w:r>
    </w:p>
    <w:p w14:paraId="162E7DB8" w14:textId="77777777" w:rsidR="00BB260C" w:rsidRPr="00BB260C" w:rsidRDefault="00BB260C" w:rsidP="00BB260C">
      <w:r w:rsidRPr="00BB260C">
        <w:t>Ø  </w:t>
      </w:r>
      <w:r w:rsidRPr="00BB260C">
        <w:rPr>
          <w:b/>
          <w:bCs/>
        </w:rPr>
        <w:t>Solicitarea reprezentanților puterii executive și puterii legislative să înceteze campania agresivă împotriva autorității judecătorești</w:t>
      </w:r>
      <w:r w:rsidRPr="00BB260C">
        <w:t>, care afectează grav statul de drept, drepturile și libertățile cetățenilor, ce pot fi garantate efectiv doar de o justiție independentă;</w:t>
      </w:r>
    </w:p>
    <w:p w14:paraId="1099B278" w14:textId="77777777" w:rsidR="00BB260C" w:rsidRPr="00BB260C" w:rsidRDefault="00BB260C" w:rsidP="00BB260C">
      <w:r w:rsidRPr="00BB260C">
        <w:t> </w:t>
      </w:r>
    </w:p>
    <w:p w14:paraId="73606907" w14:textId="77777777" w:rsidR="00BB260C" w:rsidRPr="00BB260C" w:rsidRDefault="00BB260C" w:rsidP="00BB260C">
      <w:r w:rsidRPr="00BB260C">
        <w:t>Ø  Solicitarea fermă de retragere a proiectului de lege privind reforma pensiilor de serviciu ale magistraților;</w:t>
      </w:r>
    </w:p>
    <w:p w14:paraId="54AA1DAA" w14:textId="77777777" w:rsidR="00BB260C" w:rsidRPr="00BB260C" w:rsidRDefault="00BB260C" w:rsidP="00BB260C">
      <w:r w:rsidRPr="00BB260C">
        <w:t> </w:t>
      </w:r>
    </w:p>
    <w:p w14:paraId="1D40E0CC" w14:textId="77777777" w:rsidR="00BB260C" w:rsidRPr="00BB260C" w:rsidRDefault="00BB260C" w:rsidP="00BB260C">
      <w:r w:rsidRPr="00BB260C">
        <w:t>Ø  </w:t>
      </w:r>
      <w:r w:rsidRPr="00BB260C">
        <w:rPr>
          <w:b/>
          <w:bCs/>
        </w:rPr>
        <w:t>Suspendarea activității de soluționare a cauzelor, începând cu data de 28.08.2025 și până la </w:t>
      </w:r>
      <w:r w:rsidRPr="00BB260C">
        <w:rPr>
          <w:b/>
          <w:bCs/>
        </w:rPr>
        <w:br/>
      </w:r>
    </w:p>
    <w:p w14:paraId="5CFCA403" w14:textId="77777777" w:rsidR="00BB260C" w:rsidRPr="00BB260C" w:rsidRDefault="00BB260C" w:rsidP="00BB260C">
      <w:r w:rsidRPr="00BB260C">
        <w:rPr>
          <w:b/>
          <w:bCs/>
        </w:rPr>
        <w:t>retragerea proiectului de lege, cu următoarele </w:t>
      </w:r>
      <w:r w:rsidRPr="00BB260C">
        <w:rPr>
          <w:b/>
          <w:bCs/>
          <w:u w:val="single"/>
        </w:rPr>
        <w:t>excepții</w:t>
      </w:r>
      <w:r w:rsidRPr="00BB260C">
        <w:rPr>
          <w:b/>
          <w:bCs/>
        </w:rPr>
        <w:t>:</w:t>
      </w:r>
    </w:p>
    <w:p w14:paraId="632CDFE1" w14:textId="77777777" w:rsidR="00BB260C" w:rsidRPr="00BB260C" w:rsidRDefault="00BB260C" w:rsidP="00BB260C">
      <w:r w:rsidRPr="00BB260C">
        <w:rPr>
          <w:b/>
          <w:bCs/>
        </w:rPr>
        <w:t> </w:t>
      </w:r>
    </w:p>
    <w:p w14:paraId="4B959DF1" w14:textId="77777777" w:rsidR="00BB260C" w:rsidRPr="00BB260C" w:rsidRDefault="00BB260C" w:rsidP="00BB260C">
      <w:r w:rsidRPr="00BB260C">
        <w:t>·         </w:t>
      </w:r>
      <w:r w:rsidRPr="00BB260C">
        <w:rPr>
          <w:b/>
          <w:bCs/>
        </w:rPr>
        <w:t>ÎN MATERIE CIVILĂ:</w:t>
      </w:r>
    </w:p>
    <w:p w14:paraId="45D91346" w14:textId="77777777" w:rsidR="00BB260C" w:rsidRPr="00BB260C" w:rsidRDefault="00BB260C" w:rsidP="00BB260C">
      <w:r w:rsidRPr="00BB260C">
        <w:rPr>
          <w:b/>
          <w:bCs/>
        </w:rPr>
        <w:t> </w:t>
      </w:r>
    </w:p>
    <w:p w14:paraId="33C52D69" w14:textId="77777777" w:rsidR="00BB260C" w:rsidRPr="00BB260C" w:rsidRDefault="00BB260C" w:rsidP="00BB260C">
      <w:r w:rsidRPr="00BB260C">
        <w:t>-          ordine de protecție (conform Legii nr. 217/2003, respectiv conform Legii nr. 26/2024);</w:t>
      </w:r>
    </w:p>
    <w:p w14:paraId="2E6BEBD7" w14:textId="77777777" w:rsidR="00BB260C" w:rsidRPr="00BB260C" w:rsidRDefault="00BB260C" w:rsidP="00BB260C">
      <w:r w:rsidRPr="00BB260C">
        <w:t>-          ordonanțe președințiale în materia minori și familie în cazurile ce vizează situații de risc </w:t>
      </w:r>
      <w:r w:rsidRPr="00BB260C">
        <w:br/>
      </w:r>
    </w:p>
    <w:p w14:paraId="7D4350A6" w14:textId="77777777" w:rsidR="00BB260C" w:rsidRPr="00BB260C" w:rsidRDefault="00BB260C" w:rsidP="00BB260C">
      <w:r w:rsidRPr="00BB260C">
        <w:t>      care pot pune în pericol viața și integritatea minorilor și necesitatea acordării/stabilirii de </w:t>
      </w:r>
      <w:r w:rsidRPr="00BB260C">
        <w:br/>
      </w:r>
    </w:p>
    <w:p w14:paraId="1A79DD54" w14:textId="77777777" w:rsidR="00BB260C" w:rsidRPr="00BB260C" w:rsidRDefault="00BB260C" w:rsidP="00BB260C">
      <w:r w:rsidRPr="00BB260C">
        <w:t>      tratamente medicale;</w:t>
      </w:r>
    </w:p>
    <w:p w14:paraId="502C9E15" w14:textId="77777777" w:rsidR="00BB260C" w:rsidRPr="00BB260C" w:rsidRDefault="00BB260C" w:rsidP="00BB260C">
      <w:r w:rsidRPr="00BB260C">
        <w:lastRenderedPageBreak/>
        <w:t>-          internare medicală nevoluntară/încetare internare medicală nevoluntară;</w:t>
      </w:r>
    </w:p>
    <w:p w14:paraId="5AB958CE" w14:textId="77777777" w:rsidR="00BB260C" w:rsidRPr="00BB260C" w:rsidRDefault="00BB260C" w:rsidP="00BB260C">
      <w:r w:rsidRPr="00BB260C">
        <w:t>-          suspendare provizorie a executării silite;</w:t>
      </w:r>
    </w:p>
    <w:p w14:paraId="1390B420" w14:textId="77777777" w:rsidR="00BB260C" w:rsidRPr="00BB260C" w:rsidRDefault="00BB260C" w:rsidP="00BB260C">
      <w:r w:rsidRPr="00BB260C">
        <w:t>-          suspendare a executării silite în materie fiscală;</w:t>
      </w:r>
    </w:p>
    <w:p w14:paraId="315AE892" w14:textId="77777777" w:rsidR="00BB260C" w:rsidRPr="00BB260C" w:rsidRDefault="00BB260C" w:rsidP="00BB260C">
      <w:r w:rsidRPr="00BB260C">
        <w:t>-          asigurare de dovezi;</w:t>
      </w:r>
    </w:p>
    <w:p w14:paraId="079904AE" w14:textId="77777777" w:rsidR="00BB260C" w:rsidRPr="00BB260C" w:rsidRDefault="00BB260C" w:rsidP="00BB260C">
      <w:r w:rsidRPr="00BB260C">
        <w:t>-          cauze cu refugiaţi în care persoana se află în custodie publică sau este privată de libertate;</w:t>
      </w:r>
    </w:p>
    <w:p w14:paraId="1455404F" w14:textId="77777777" w:rsidR="00BB260C" w:rsidRPr="00BB260C" w:rsidRDefault="00BB260C" w:rsidP="00BB260C">
      <w:r w:rsidRPr="00BB260C">
        <w:t>-          incidente procedurale referitoare la aceste tipuri de cauze.</w:t>
      </w:r>
    </w:p>
    <w:p w14:paraId="2590D9E9" w14:textId="77777777" w:rsidR="00BB260C" w:rsidRPr="00BB260C" w:rsidRDefault="00BB260C" w:rsidP="00BB260C">
      <w:r w:rsidRPr="00BB260C">
        <w:t> </w:t>
      </w:r>
    </w:p>
    <w:p w14:paraId="410496DC" w14:textId="77777777" w:rsidR="00BB260C" w:rsidRPr="00BB260C" w:rsidRDefault="00BB260C" w:rsidP="00BB260C">
      <w:r w:rsidRPr="00BB260C">
        <w:t>·         </w:t>
      </w:r>
      <w:r w:rsidRPr="00BB260C">
        <w:rPr>
          <w:b/>
          <w:bCs/>
        </w:rPr>
        <w:t>ÎN MATERIE PENALĂ:</w:t>
      </w:r>
    </w:p>
    <w:p w14:paraId="681C603E" w14:textId="77777777" w:rsidR="00BB260C" w:rsidRPr="00BB260C" w:rsidRDefault="00BB260C" w:rsidP="00BB260C">
      <w:r w:rsidRPr="00BB260C">
        <w:rPr>
          <w:b/>
          <w:bCs/>
        </w:rPr>
        <w:t> </w:t>
      </w:r>
    </w:p>
    <w:p w14:paraId="23A52110" w14:textId="77777777" w:rsidR="00BB260C" w:rsidRPr="00BB260C" w:rsidRDefault="00BB260C" w:rsidP="00BB260C">
      <w:r w:rsidRPr="00BB260C">
        <w:t>-           cauze de competența judecătorului de drepturi și libertăți, </w:t>
      </w:r>
      <w:r w:rsidRPr="00BB260C">
        <w:rPr>
          <w:i/>
          <w:iCs/>
        </w:rPr>
        <w:t>cu excepția cauzelor care au ca obiect contestație privind durata procesului penal și anularea/reducerea amenzii judiciare;</w:t>
      </w:r>
    </w:p>
    <w:p w14:paraId="10F223EE" w14:textId="77777777" w:rsidR="00BB260C" w:rsidRPr="00BB260C" w:rsidRDefault="00BB260C" w:rsidP="00BB260C">
      <w:r w:rsidRPr="00BB260C">
        <w:t>-          verificarea legalității și temeiniciei măsurilor preventive și asigurătorii, inclusiv cererile </w:t>
      </w:r>
      <w:r w:rsidRPr="00BB260C">
        <w:br/>
      </w:r>
    </w:p>
    <w:p w14:paraId="34590F05" w14:textId="77777777" w:rsidR="00BB260C" w:rsidRPr="00BB260C" w:rsidRDefault="00BB260C" w:rsidP="00BB260C">
      <w:r w:rsidRPr="00BB260C">
        <w:t>     privind luarea, înlocuirea, revocarea, încetarea de drept a unor astfel de măsuri;</w:t>
      </w:r>
    </w:p>
    <w:p w14:paraId="57A1F713" w14:textId="77777777" w:rsidR="00BB260C" w:rsidRPr="00BB260C" w:rsidRDefault="00BB260C" w:rsidP="00BB260C">
      <w:r w:rsidRPr="00BB260C">
        <w:t>-          cauzele referitoare la măsurile de siguranţă (internare medicală şi obligare la tratament medical);</w:t>
      </w:r>
    </w:p>
    <w:p w14:paraId="7B907FF2" w14:textId="77777777" w:rsidR="00BB260C" w:rsidRPr="00BB260C" w:rsidRDefault="00BB260C" w:rsidP="00BB260C">
      <w:r w:rsidRPr="00BB260C">
        <w:t>-          incidente procedurale referitoare la aceste tipuri de cauze.</w:t>
      </w:r>
    </w:p>
    <w:p w14:paraId="71896444" w14:textId="77777777" w:rsidR="00BB260C" w:rsidRPr="00BB260C" w:rsidRDefault="00BB260C" w:rsidP="00BB260C">
      <w:r w:rsidRPr="00BB260C">
        <w:t> </w:t>
      </w:r>
    </w:p>
    <w:p w14:paraId="3ED8808F" w14:textId="77777777" w:rsidR="00BB260C" w:rsidRPr="00BB260C" w:rsidRDefault="00BB260C" w:rsidP="00BB260C">
      <w:r w:rsidRPr="00BB260C">
        <w:rPr>
          <w:b/>
          <w:bCs/>
        </w:rPr>
        <w:t>Demersul are ca premisă</w:t>
      </w:r>
      <w:r w:rsidRPr="00BB260C">
        <w:t> respectul față de cetățeni și solidaritatea cu aceștia pentru ca dreptul de acces la justiție să nu devină o iluzie și este determinat, în principal, de conduita decidenților politici, manifestată prin inițiative legislative și discursuri publice care subminează rolul constituțional al autorității judecătorești, afectând statutul acesteia de a treia putere în stat.</w:t>
      </w:r>
    </w:p>
    <w:p w14:paraId="12C8D188" w14:textId="77777777" w:rsidR="00BB260C" w:rsidRPr="00BB260C" w:rsidRDefault="00BB260C" w:rsidP="00BB260C">
      <w:r w:rsidRPr="00BB260C">
        <w:t> Astfel, măsurile adoptate în cadrul Adunării Generale nu sunt determinate exclusiv de modificările legislative referitoare la pensiile de serviciu al magistraților, </w:t>
      </w:r>
      <w:r w:rsidRPr="00BB260C">
        <w:rPr>
          <w:b/>
          <w:bCs/>
        </w:rPr>
        <w:t>ci reflectă poziția critică a corpului profesional față de:</w:t>
      </w:r>
    </w:p>
    <w:p w14:paraId="3D1B113E" w14:textId="77777777" w:rsidR="00BB260C" w:rsidRPr="00BB260C" w:rsidRDefault="00BB260C" w:rsidP="00BB260C">
      <w:pPr>
        <w:numPr>
          <w:ilvl w:val="0"/>
          <w:numId w:val="2"/>
        </w:numPr>
      </w:pPr>
      <w:r w:rsidRPr="00BB260C">
        <w:t>-          </w:t>
      </w:r>
      <w:r w:rsidRPr="00BB260C">
        <w:rPr>
          <w:b/>
          <w:bCs/>
        </w:rPr>
        <w:t>lipsa de previzibilitate și stabilitate a statutului judecătorilor,</w:t>
      </w:r>
      <w:r w:rsidRPr="00BB260C">
        <w:t> ca urmare a pretins-denumitelor „reforme", cu consecințe dramatice asupra sistemului judiciar, care nu fac decât să submineze constant statutul magistraților;</w:t>
      </w:r>
    </w:p>
    <w:p w14:paraId="52715243" w14:textId="77777777" w:rsidR="00BB260C" w:rsidRPr="00BB260C" w:rsidRDefault="00BB260C" w:rsidP="00BB260C">
      <w:pPr>
        <w:numPr>
          <w:ilvl w:val="0"/>
          <w:numId w:val="2"/>
        </w:numPr>
      </w:pPr>
      <w:r w:rsidRPr="00BB260C">
        <w:lastRenderedPageBreak/>
        <w:t>    -          </w:t>
      </w:r>
      <w:r w:rsidRPr="00BB260C">
        <w:rPr>
          <w:b/>
          <w:bCs/>
        </w:rPr>
        <w:t>punerea și repunerea în discuție, în ultimii 7 ani, a statutului judecătorilor,</w:t>
      </w:r>
      <w:r w:rsidRPr="00BB260C">
        <w:t> prin modificarea       substanțială a Legilor Justiției,</w:t>
      </w:r>
    </w:p>
    <w:p w14:paraId="606DACE7" w14:textId="77777777" w:rsidR="00BB260C" w:rsidRPr="00BB260C" w:rsidRDefault="00BB260C" w:rsidP="00BB260C">
      <w:pPr>
        <w:numPr>
          <w:ilvl w:val="0"/>
          <w:numId w:val="2"/>
        </w:numPr>
      </w:pPr>
      <w:r w:rsidRPr="00BB260C">
        <w:t>-          </w:t>
      </w:r>
      <w:r w:rsidRPr="00BB260C">
        <w:rPr>
          <w:b/>
          <w:bCs/>
        </w:rPr>
        <w:t>nerespectarea principiului cooperării loiale între puterile statului, </w:t>
      </w:r>
      <w:r w:rsidRPr="00BB260C">
        <w:t>astfel încât orice demers legislativ privind modificarea condițiilor de acordare a pensiilor de serviciu ale judecătorilor să fie făcut </w:t>
      </w:r>
      <w:r w:rsidRPr="00BB260C">
        <w:rPr>
          <w:b/>
          <w:bCs/>
        </w:rPr>
        <w:t>cu consultarea reală și efectivă a sistemului judiciar</w:t>
      </w:r>
      <w:r w:rsidRPr="00BB260C">
        <w:t>, evitând afectarea statutului judecătorilor în funcție prin măsuri intempestive și populiste care ar afecta grav echilibrul sistemului judiciar și garanțiile de independentă ale acestuia și în conformitate cu jurisprudența Curții Constituționale, Curții de Justiție a Uniunii Europene și Curții Europene a Drepturilor Omului.</w:t>
      </w:r>
    </w:p>
    <w:p w14:paraId="6A8F0E94" w14:textId="77777777" w:rsidR="00BB260C" w:rsidRPr="00BB260C" w:rsidRDefault="00BB260C" w:rsidP="00BB260C">
      <w:pPr>
        <w:numPr>
          <w:ilvl w:val="0"/>
          <w:numId w:val="2"/>
        </w:numPr>
      </w:pPr>
      <w:r w:rsidRPr="00BB260C">
        <w:t>-          </w:t>
      </w:r>
      <w:r w:rsidRPr="00BB260C">
        <w:rPr>
          <w:b/>
          <w:bCs/>
        </w:rPr>
        <w:t>impunerea proiectului de lege pe fondul unui climat public de ură împotriva magistraților, format sau alimentat de declarații politicianiste iresponsabile, într-o campanie publică de demonizare a magistraților</w:t>
      </w:r>
      <w:r w:rsidRPr="00BB260C">
        <w:t>;</w:t>
      </w:r>
    </w:p>
    <w:p w14:paraId="0D2F3CDA" w14:textId="77777777" w:rsidR="00BB260C" w:rsidRPr="00BB260C" w:rsidRDefault="00BB260C" w:rsidP="00BB260C">
      <w:pPr>
        <w:numPr>
          <w:ilvl w:val="0"/>
          <w:numId w:val="2"/>
        </w:numPr>
      </w:pPr>
      <w:r w:rsidRPr="00BB260C">
        <w:t>-          </w:t>
      </w:r>
      <w:r w:rsidRPr="00BB260C">
        <w:rPr>
          <w:b/>
          <w:bCs/>
        </w:rPr>
        <w:t>prezentarea sistemului judiciar ca fiind vinovat pentru eșecuri ale celorlalte puteri în domenii în care justiția, potrivit Constituției, nu are nicio atribuție,</w:t>
      </w:r>
      <w:r w:rsidRPr="00BB260C">
        <w:t> creându-se riscul major ca toate aceste acțiuni ale executivului și legislativului să inducă cetățenilor ideea că sistemul judiciar este doar un instrument la discreția factorului politic ce se comportă autocratic, putând, în pofida oricăror valori ale statului de drept, să impună modificări în forță, fără niciun fel de consultări, cu desconsiderarea independenței justiției, marcând începutul sfârșitului statului de drept în România,</w:t>
      </w:r>
    </w:p>
    <w:p w14:paraId="683E3F0D" w14:textId="77777777" w:rsidR="00BB260C" w:rsidRPr="00BB260C" w:rsidRDefault="00BB260C" w:rsidP="00BB260C">
      <w:pPr>
        <w:numPr>
          <w:ilvl w:val="0"/>
          <w:numId w:val="2"/>
        </w:numPr>
      </w:pPr>
      <w:r w:rsidRPr="00BB260C">
        <w:t>-          „omisiunea” de a se menționa, în </w:t>
      </w:r>
      <w:r w:rsidRPr="00BB260C">
        <w:rPr>
          <w:b/>
          <w:bCs/>
        </w:rPr>
        <w:t>cadrul campaniei agresive îndreptate împotriva magistraților</w:t>
      </w:r>
      <w:r w:rsidRPr="00BB260C">
        <w:t>, că în România există 212.000 de persoane (bugetari) cu pensii de serviciu și speciale, din care doar 5.600 sunt magistrați, puterea executivă având, deci, în vedere doar procentul de 2,64% din aceste pensii, cât reprezintă cele ale magistraților.</w:t>
      </w:r>
    </w:p>
    <w:p w14:paraId="3705B6FB" w14:textId="77777777" w:rsidR="00BB260C" w:rsidRPr="00BB260C" w:rsidRDefault="00BB260C" w:rsidP="00BB260C">
      <w:r w:rsidRPr="00BB260C">
        <w:t>Înțelegem pe deplin impactul acestei decizii asupra justițiabililor și ne exprimăm regretul pentru eventualele consecințe asupra activității judiciare curente.</w:t>
      </w:r>
    </w:p>
    <w:p w14:paraId="71498C2E" w14:textId="77777777" w:rsidR="00BB260C" w:rsidRPr="00BB260C" w:rsidRDefault="00BB260C" w:rsidP="00BB260C">
      <w:r w:rsidRPr="00BB260C">
        <w:t>Totuși, considerăm că protejarea independenței justiției și apărarea demnității profesionale a magistraților reprezintă obiective esențiale, ce privesc întreaga societate.</w:t>
      </w:r>
    </w:p>
    <w:p w14:paraId="2D93A81D" w14:textId="77777777" w:rsidR="00BB260C" w:rsidRPr="00BB260C" w:rsidRDefault="00BB260C" w:rsidP="00BB260C">
      <w:r w:rsidRPr="00BB260C">
        <w:t>Având în vedere măsurile adoptate, respectiv suspendarea activității de judecată pe o perioadă nedeterminată, </w:t>
      </w:r>
      <w:r w:rsidRPr="00BB260C">
        <w:rPr>
          <w:b/>
          <w:bCs/>
        </w:rPr>
        <w:t>facem apel la toţi participanții la procedurile judiciare să nu se prezinte la judecată decât în ipoteza cauzelor urgente precitate.</w:t>
      </w:r>
    </w:p>
    <w:p w14:paraId="14A52D7D" w14:textId="77777777" w:rsidR="00BB260C" w:rsidRPr="00BB260C" w:rsidRDefault="00BB260C" w:rsidP="00BB260C">
      <w:r w:rsidRPr="00BB260C">
        <w:t> </w:t>
      </w:r>
    </w:p>
    <w:p w14:paraId="1FCEDCCB" w14:textId="77777777" w:rsidR="00BB260C" w:rsidRPr="00BB260C" w:rsidRDefault="00BB260C" w:rsidP="00BB260C">
      <w:r w:rsidRPr="00BB260C">
        <w:t>Celelalte activităţi se desfăşoară conform programului normal de lucru.   </w:t>
      </w:r>
    </w:p>
    <w:p w14:paraId="5DF91D0E" w14:textId="77777777" w:rsidR="00BB260C" w:rsidRPr="00BB260C" w:rsidRDefault="00BB260C" w:rsidP="00BB260C">
      <w:r w:rsidRPr="00BB260C">
        <w:t> </w:t>
      </w:r>
    </w:p>
    <w:p w14:paraId="38DC7C9A" w14:textId="77777777" w:rsidR="00BB260C" w:rsidRPr="00BB260C" w:rsidRDefault="00BB260C" w:rsidP="00BB260C">
      <w:r w:rsidRPr="00BB260C">
        <w:lastRenderedPageBreak/>
        <w:t>PREŞEDINTELE JUDECĂTORIEI SECTOR 4 BUCUREŞTI</w:t>
      </w:r>
    </w:p>
    <w:p w14:paraId="7DA4E39A" w14:textId="77777777" w:rsidR="00BB260C" w:rsidRPr="00BB260C" w:rsidRDefault="00BB260C" w:rsidP="00BB260C">
      <w:r w:rsidRPr="00BB260C">
        <w:t>JUDECĂTOR VALERIA-MARIA CONSTANTINESCU</w:t>
      </w:r>
    </w:p>
    <w:p w14:paraId="3AC5036C" w14:textId="77777777" w:rsidR="00DD7D6E" w:rsidRDefault="00DD7D6E"/>
    <w:sectPr w:rsidR="00DD7D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40252D"/>
    <w:multiLevelType w:val="multilevel"/>
    <w:tmpl w:val="AB90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EC6A66"/>
    <w:multiLevelType w:val="multilevel"/>
    <w:tmpl w:val="4350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9909078">
    <w:abstractNumId w:val="0"/>
  </w:num>
  <w:num w:numId="2" w16cid:durableId="260651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60C"/>
    <w:rsid w:val="00223986"/>
    <w:rsid w:val="00BB260C"/>
    <w:rsid w:val="00D61A3C"/>
    <w:rsid w:val="00DB3D51"/>
    <w:rsid w:val="00DD7D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2FB32"/>
  <w15:chartTrackingRefBased/>
  <w15:docId w15:val="{4BF6D357-AEEA-47F6-ADB1-4FAFDAD36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26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26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26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26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26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26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6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6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6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6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26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26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26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26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26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6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6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60C"/>
    <w:rPr>
      <w:rFonts w:eastAsiaTheme="majorEastAsia" w:cstheme="majorBidi"/>
      <w:color w:val="272727" w:themeColor="text1" w:themeTint="D8"/>
    </w:rPr>
  </w:style>
  <w:style w:type="paragraph" w:styleId="Title">
    <w:name w:val="Title"/>
    <w:basedOn w:val="Normal"/>
    <w:next w:val="Normal"/>
    <w:link w:val="TitleChar"/>
    <w:uiPriority w:val="10"/>
    <w:qFormat/>
    <w:rsid w:val="00BB26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6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6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6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60C"/>
    <w:pPr>
      <w:spacing w:before="160"/>
      <w:jc w:val="center"/>
    </w:pPr>
    <w:rPr>
      <w:i/>
      <w:iCs/>
      <w:color w:val="404040" w:themeColor="text1" w:themeTint="BF"/>
    </w:rPr>
  </w:style>
  <w:style w:type="character" w:customStyle="1" w:styleId="QuoteChar">
    <w:name w:val="Quote Char"/>
    <w:basedOn w:val="DefaultParagraphFont"/>
    <w:link w:val="Quote"/>
    <w:uiPriority w:val="29"/>
    <w:rsid w:val="00BB260C"/>
    <w:rPr>
      <w:i/>
      <w:iCs/>
      <w:color w:val="404040" w:themeColor="text1" w:themeTint="BF"/>
    </w:rPr>
  </w:style>
  <w:style w:type="paragraph" w:styleId="ListParagraph">
    <w:name w:val="List Paragraph"/>
    <w:basedOn w:val="Normal"/>
    <w:uiPriority w:val="34"/>
    <w:qFormat/>
    <w:rsid w:val="00BB260C"/>
    <w:pPr>
      <w:ind w:left="720"/>
      <w:contextualSpacing/>
    </w:pPr>
  </w:style>
  <w:style w:type="character" w:styleId="IntenseEmphasis">
    <w:name w:val="Intense Emphasis"/>
    <w:basedOn w:val="DefaultParagraphFont"/>
    <w:uiPriority w:val="21"/>
    <w:qFormat/>
    <w:rsid w:val="00BB260C"/>
    <w:rPr>
      <w:i/>
      <w:iCs/>
      <w:color w:val="0F4761" w:themeColor="accent1" w:themeShade="BF"/>
    </w:rPr>
  </w:style>
  <w:style w:type="paragraph" w:styleId="IntenseQuote">
    <w:name w:val="Intense Quote"/>
    <w:basedOn w:val="Normal"/>
    <w:next w:val="Normal"/>
    <w:link w:val="IntenseQuoteChar"/>
    <w:uiPriority w:val="30"/>
    <w:qFormat/>
    <w:rsid w:val="00BB26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260C"/>
    <w:rPr>
      <w:i/>
      <w:iCs/>
      <w:color w:val="0F4761" w:themeColor="accent1" w:themeShade="BF"/>
    </w:rPr>
  </w:style>
  <w:style w:type="character" w:styleId="IntenseReference">
    <w:name w:val="Intense Reference"/>
    <w:basedOn w:val="DefaultParagraphFont"/>
    <w:uiPriority w:val="32"/>
    <w:qFormat/>
    <w:rsid w:val="00BB26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830</Words>
  <Characters>4815</Characters>
  <Application>Microsoft Office Word</Application>
  <DocSecurity>0</DocSecurity>
  <Lines>40</Lines>
  <Paragraphs>11</Paragraphs>
  <ScaleCrop>false</ScaleCrop>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UNBR UNBR</dc:creator>
  <cp:keywords/>
  <dc:description/>
  <cp:lastModifiedBy>UNBR UNBR</cp:lastModifiedBy>
  <cp:revision>1</cp:revision>
  <dcterms:created xsi:type="dcterms:W3CDTF">2025-08-28T14:49:00Z</dcterms:created>
  <dcterms:modified xsi:type="dcterms:W3CDTF">2025-08-28T14:49:00Z</dcterms:modified>
</cp:coreProperties>
</file>